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1BB6A" w14:textId="22FCB417" w:rsidR="00C32DE7" w:rsidRDefault="00921438" w:rsidP="00D56F3C">
      <w:pPr>
        <w:jc w:val="center"/>
        <w:rPr>
          <w:b/>
          <w:caps/>
        </w:rPr>
      </w:pPr>
      <w:r w:rsidRPr="00803C70">
        <w:rPr>
          <w:b/>
          <w:caps/>
        </w:rPr>
        <w:t xml:space="preserve">intervento </w:t>
      </w:r>
      <w:r w:rsidR="00C32DE7">
        <w:rPr>
          <w:b/>
          <w:caps/>
        </w:rPr>
        <w:t>PRESIDENTE UNIONE PETROLIFERA</w:t>
      </w:r>
    </w:p>
    <w:p w14:paraId="01E1CE3F" w14:textId="21C46E0D" w:rsidR="00070ECB" w:rsidRPr="00803C70" w:rsidRDefault="00921438" w:rsidP="00D56F3C">
      <w:pPr>
        <w:jc w:val="center"/>
        <w:rPr>
          <w:b/>
          <w:caps/>
        </w:rPr>
      </w:pPr>
      <w:r w:rsidRPr="00803C70">
        <w:rPr>
          <w:b/>
          <w:caps/>
        </w:rPr>
        <w:t xml:space="preserve">assemblea </w:t>
      </w:r>
      <w:r w:rsidR="00C32DE7">
        <w:rPr>
          <w:b/>
          <w:caps/>
        </w:rPr>
        <w:t xml:space="preserve">ANNUALE </w:t>
      </w:r>
      <w:r w:rsidRPr="00803C70">
        <w:rPr>
          <w:b/>
          <w:caps/>
        </w:rPr>
        <w:t>(</w:t>
      </w:r>
      <w:r w:rsidR="00C32DE7">
        <w:rPr>
          <w:b/>
          <w:caps/>
        </w:rPr>
        <w:t>18</w:t>
      </w:r>
      <w:r w:rsidRPr="00803C70">
        <w:rPr>
          <w:b/>
          <w:caps/>
        </w:rPr>
        <w:t>.</w:t>
      </w:r>
      <w:r w:rsidR="004E5681" w:rsidRPr="00803C70">
        <w:rPr>
          <w:b/>
          <w:caps/>
        </w:rPr>
        <w:t>6</w:t>
      </w:r>
      <w:r w:rsidRPr="00803C70">
        <w:rPr>
          <w:b/>
          <w:caps/>
        </w:rPr>
        <w:t>.2015)</w:t>
      </w:r>
    </w:p>
    <w:p w14:paraId="4EB1FEEF" w14:textId="77777777" w:rsidR="00921438" w:rsidRPr="00803C70" w:rsidRDefault="00921438"/>
    <w:p w14:paraId="1D8DEB93" w14:textId="77777777" w:rsidR="009850F6" w:rsidRPr="00803C70" w:rsidRDefault="009850F6"/>
    <w:p w14:paraId="68931B3A" w14:textId="77777777" w:rsidR="00921438" w:rsidRPr="00803C70" w:rsidRDefault="00921438"/>
    <w:p w14:paraId="6E885C14" w14:textId="77777777" w:rsidR="00921438" w:rsidRPr="00803C70" w:rsidRDefault="00BB4DAD" w:rsidP="00BB4DAD">
      <w:pPr>
        <w:jc w:val="center"/>
        <w:rPr>
          <w:b/>
          <w:u w:val="single"/>
        </w:rPr>
      </w:pPr>
      <w:r w:rsidRPr="00803C70">
        <w:rPr>
          <w:b/>
          <w:u w:val="single"/>
        </w:rPr>
        <w:t xml:space="preserve">Slide da 1 a </w:t>
      </w:r>
      <w:r w:rsidR="007765F2" w:rsidRPr="00803C70">
        <w:rPr>
          <w:b/>
          <w:u w:val="single"/>
        </w:rPr>
        <w:t>3</w:t>
      </w:r>
    </w:p>
    <w:p w14:paraId="00416D92" w14:textId="77777777" w:rsidR="00BB4DAD" w:rsidRPr="00803C70" w:rsidRDefault="00BB4DAD" w:rsidP="00921438"/>
    <w:p w14:paraId="691528B8" w14:textId="77777777" w:rsidR="00E31091" w:rsidRPr="00803C70" w:rsidRDefault="00894430" w:rsidP="0014303B">
      <w:pPr>
        <w:pStyle w:val="Paragrafoelenco"/>
        <w:numPr>
          <w:ilvl w:val="0"/>
          <w:numId w:val="3"/>
        </w:numPr>
        <w:jc w:val="both"/>
      </w:pPr>
      <w:r w:rsidRPr="00803C70">
        <w:t>Il 2030 è un orizzonte temporale</w:t>
      </w:r>
      <w:r w:rsidR="00E31091" w:rsidRPr="00803C70">
        <w:t xml:space="preserve"> non </w:t>
      </w:r>
      <w:r w:rsidR="00A13C8F">
        <w:t>troppo</w:t>
      </w:r>
      <w:r w:rsidR="00E31091" w:rsidRPr="00803C70">
        <w:t xml:space="preserve"> lontano</w:t>
      </w:r>
      <w:r w:rsidR="00A13C8F">
        <w:t xml:space="preserve"> che </w:t>
      </w:r>
      <w:r w:rsidR="00C35D33" w:rsidRPr="00803C70">
        <w:t>suscita molte attese</w:t>
      </w:r>
      <w:r w:rsidR="00AA1488" w:rsidRPr="00803C70">
        <w:t>. Si tratta di poco meno di 15 anni</w:t>
      </w:r>
      <w:r w:rsidR="00C35D33" w:rsidRPr="00803C70">
        <w:t xml:space="preserve"> </w:t>
      </w:r>
      <w:r w:rsidR="00E31091" w:rsidRPr="00803C70">
        <w:t>nel corso dei quali</w:t>
      </w:r>
      <w:r w:rsidR="00A13C8F">
        <w:t xml:space="preserve"> dovremo affrontare nuove sfide:</w:t>
      </w:r>
      <w:r w:rsidR="00E31091" w:rsidRPr="00803C70">
        <w:t xml:space="preserve"> economiche, sociali</w:t>
      </w:r>
      <w:r w:rsidR="00A13C8F">
        <w:t>,</w:t>
      </w:r>
      <w:r w:rsidR="00E31091" w:rsidRPr="00803C70">
        <w:t xml:space="preserve"> ma soprattutto </w:t>
      </w:r>
      <w:r w:rsidR="00931F33" w:rsidRPr="00803C70">
        <w:t>energetiche e</w:t>
      </w:r>
      <w:r w:rsidR="006C5982" w:rsidRPr="00803C70">
        <w:t>d</w:t>
      </w:r>
      <w:r w:rsidR="00931F33" w:rsidRPr="00803C70">
        <w:t xml:space="preserve"> </w:t>
      </w:r>
      <w:r w:rsidR="00E31091" w:rsidRPr="00803C70">
        <w:t>ambientali.</w:t>
      </w:r>
    </w:p>
    <w:p w14:paraId="6BC7FAE7" w14:textId="77777777" w:rsidR="00774D4F" w:rsidRPr="00803C70" w:rsidRDefault="00774D4F" w:rsidP="00E31091"/>
    <w:p w14:paraId="71F152E5" w14:textId="348296CA" w:rsidR="007302D4" w:rsidRPr="00803C70" w:rsidRDefault="00E31091" w:rsidP="0014303B">
      <w:pPr>
        <w:pStyle w:val="Paragrafoelenco"/>
        <w:numPr>
          <w:ilvl w:val="0"/>
          <w:numId w:val="3"/>
        </w:numPr>
        <w:jc w:val="both"/>
      </w:pPr>
      <w:r w:rsidRPr="00803C70">
        <w:t xml:space="preserve">Per rispondere alla </w:t>
      </w:r>
      <w:r w:rsidR="00D205D8" w:rsidRPr="00803C70">
        <w:t xml:space="preserve">forte </w:t>
      </w:r>
      <w:r w:rsidRPr="00803C70">
        <w:t>crescita attesa della popolazione</w:t>
      </w:r>
      <w:r w:rsidR="00014BEB">
        <w:t xml:space="preserve"> mondiale</w:t>
      </w:r>
      <w:r w:rsidRPr="00803C70">
        <w:t xml:space="preserve"> (8,5 miliardi di persone, +20%) e del Pil (+90%), </w:t>
      </w:r>
      <w:r w:rsidR="004F165C">
        <w:t>avremo bisogno di molta energia:</w:t>
      </w:r>
      <w:r w:rsidRPr="00803C70">
        <w:t xml:space="preserve"> il 40% in più rispetto ad oggi, che dovremo riuscire a produrre e consumare in maniera sempre più sostenibile.</w:t>
      </w:r>
    </w:p>
    <w:p w14:paraId="52061972" w14:textId="77777777" w:rsidR="00921438" w:rsidRPr="00803C70" w:rsidRDefault="00E31091" w:rsidP="00E31091">
      <w:r w:rsidRPr="00803C70">
        <w:t xml:space="preserve"> </w:t>
      </w:r>
    </w:p>
    <w:p w14:paraId="4F0B06CD" w14:textId="39C28843" w:rsidR="000F7987" w:rsidRPr="009B48F4" w:rsidRDefault="00942E38" w:rsidP="0014303B">
      <w:pPr>
        <w:numPr>
          <w:ilvl w:val="0"/>
          <w:numId w:val="1"/>
        </w:numPr>
        <w:jc w:val="both"/>
      </w:pPr>
      <w:r w:rsidRPr="009B48F4">
        <w:t>Rilevante è il fatto che la</w:t>
      </w:r>
      <w:r w:rsidR="00A13C8F" w:rsidRPr="009B48F4">
        <w:t xml:space="preserve"> maggior parte di questo incremento </w:t>
      </w:r>
      <w:r w:rsidR="005D5CE9" w:rsidRPr="009B48F4">
        <w:t xml:space="preserve">nella domanda di energia </w:t>
      </w:r>
      <w:r w:rsidR="00A13C8F" w:rsidRPr="009B48F4">
        <w:t xml:space="preserve">sarà </w:t>
      </w:r>
      <w:r w:rsidRPr="009B48F4">
        <w:t xml:space="preserve">assorbito dai paesi non-Ocse che </w:t>
      </w:r>
      <w:r w:rsidR="00481BF1" w:rsidRPr="009B48F4">
        <w:t xml:space="preserve">nel 2014 hanno </w:t>
      </w:r>
      <w:r w:rsidR="004F165C">
        <w:t>già superato</w:t>
      </w:r>
      <w:r w:rsidR="00481BF1" w:rsidRPr="009B48F4">
        <w:t xml:space="preserve"> </w:t>
      </w:r>
      <w:r w:rsidR="00A13C8F" w:rsidRPr="009B48F4">
        <w:t xml:space="preserve">per la prima volta </w:t>
      </w:r>
      <w:r w:rsidR="00481BF1" w:rsidRPr="009B48F4">
        <w:t xml:space="preserve">il 50% </w:t>
      </w:r>
      <w:r w:rsidRPr="009B48F4">
        <w:t>del</w:t>
      </w:r>
      <w:r w:rsidR="00481BF1" w:rsidRPr="009B48F4">
        <w:t xml:space="preserve"> totale</w:t>
      </w:r>
      <w:r w:rsidR="004F165C" w:rsidRPr="004F165C">
        <w:t xml:space="preserve"> </w:t>
      </w:r>
      <w:r w:rsidR="004F165C">
        <w:t>anche per i consumi petroliferi</w:t>
      </w:r>
      <w:r w:rsidR="00481BF1" w:rsidRPr="009B48F4">
        <w:t>.</w:t>
      </w:r>
    </w:p>
    <w:p w14:paraId="7510BEE3" w14:textId="77777777" w:rsidR="00942E38" w:rsidRPr="009B48F4" w:rsidRDefault="00942E38" w:rsidP="00942E38">
      <w:pPr>
        <w:ind w:left="720"/>
      </w:pPr>
    </w:p>
    <w:p w14:paraId="1E77F132" w14:textId="0D39404B" w:rsidR="00942E38" w:rsidRPr="009B48F4" w:rsidRDefault="00942E38" w:rsidP="0014303B">
      <w:pPr>
        <w:numPr>
          <w:ilvl w:val="0"/>
          <w:numId w:val="1"/>
        </w:numPr>
        <w:jc w:val="both"/>
      </w:pPr>
      <w:r w:rsidRPr="009B48F4">
        <w:t xml:space="preserve">Paesi che spesso pongono poca attenzione al tema </w:t>
      </w:r>
      <w:r w:rsidR="009B48F4">
        <w:t>ambientale</w:t>
      </w:r>
      <w:r w:rsidR="009B48F4" w:rsidRPr="009B48F4">
        <w:t>,</w:t>
      </w:r>
      <w:r w:rsidRPr="009B48F4">
        <w:t xml:space="preserve"> lasciando così l’onere </w:t>
      </w:r>
      <w:r w:rsidR="009B48F4">
        <w:t>della riduzione delle emissioni di CO</w:t>
      </w:r>
      <w:r w:rsidR="009B48F4" w:rsidRPr="00C607BC">
        <w:rPr>
          <w:vertAlign w:val="subscript"/>
        </w:rPr>
        <w:t>2</w:t>
      </w:r>
      <w:r w:rsidR="009B48F4">
        <w:t xml:space="preserve"> </w:t>
      </w:r>
      <w:r w:rsidRPr="009B48F4">
        <w:t xml:space="preserve">sui paesi Ocse che complessivamente sono responsabili </w:t>
      </w:r>
      <w:r w:rsidR="009B48F4">
        <w:t>solo di</w:t>
      </w:r>
      <w:r w:rsidRPr="009B48F4">
        <w:t xml:space="preserve"> un terzo </w:t>
      </w:r>
      <w:r w:rsidR="009B48F4" w:rsidRPr="009B48F4">
        <w:t>dei rilasci</w:t>
      </w:r>
      <w:r w:rsidRPr="009B48F4">
        <w:t xml:space="preserve"> totali, </w:t>
      </w:r>
      <w:r w:rsidR="009B48F4">
        <w:t xml:space="preserve">praticamente </w:t>
      </w:r>
      <w:r w:rsidRPr="009B48F4">
        <w:t>quanto</w:t>
      </w:r>
      <w:r w:rsidR="009B48F4" w:rsidRPr="009B48F4">
        <w:t xml:space="preserve"> </w:t>
      </w:r>
      <w:r w:rsidR="00DB3653">
        <w:t xml:space="preserve">le sole </w:t>
      </w:r>
      <w:r w:rsidRPr="009B48F4">
        <w:t xml:space="preserve">Cina e </w:t>
      </w:r>
      <w:r w:rsidR="0036736E">
        <w:t>I</w:t>
      </w:r>
      <w:r w:rsidRPr="009B48F4">
        <w:t>ndia m</w:t>
      </w:r>
      <w:r w:rsidR="00865309">
        <w:t>esse insieme, mentre l</w:t>
      </w:r>
      <w:r w:rsidRPr="009B48F4">
        <w:t xml:space="preserve">’Europa non va oltre </w:t>
      </w:r>
      <w:r w:rsidR="00252AD6">
        <w:t>il 10</w:t>
      </w:r>
      <w:r w:rsidRPr="009B48F4">
        <w:t>%.</w:t>
      </w:r>
    </w:p>
    <w:p w14:paraId="7A6CBFD6" w14:textId="77777777" w:rsidR="00942E38" w:rsidRPr="009B48F4" w:rsidRDefault="00942E38" w:rsidP="00942E38">
      <w:pPr>
        <w:ind w:left="720"/>
        <w:rPr>
          <w:b/>
        </w:rPr>
      </w:pPr>
    </w:p>
    <w:p w14:paraId="3908692E" w14:textId="77777777" w:rsidR="00942E38" w:rsidRPr="00DB3653" w:rsidRDefault="00DB3653" w:rsidP="00AA684B">
      <w:pPr>
        <w:numPr>
          <w:ilvl w:val="0"/>
          <w:numId w:val="1"/>
        </w:numPr>
        <w:jc w:val="both"/>
        <w:rPr>
          <w:b/>
        </w:rPr>
      </w:pPr>
      <w:r>
        <w:rPr>
          <w:rFonts w:cs="Verdana"/>
        </w:rPr>
        <w:t>In prospettiva, nei</w:t>
      </w:r>
      <w:r w:rsidR="00942E38" w:rsidRPr="009B48F4">
        <w:rPr>
          <w:rFonts w:cs="Verdana"/>
        </w:rPr>
        <w:t xml:space="preserve"> paesi Ocse </w:t>
      </w:r>
      <w:r w:rsidR="009B48F4">
        <w:rPr>
          <w:rFonts w:cs="Verdana"/>
        </w:rPr>
        <w:t xml:space="preserve">tali emissioni tenderanno </w:t>
      </w:r>
      <w:r>
        <w:rPr>
          <w:rFonts w:cs="Verdana"/>
        </w:rPr>
        <w:t xml:space="preserve">però </w:t>
      </w:r>
      <w:r w:rsidR="009B48F4">
        <w:rPr>
          <w:rFonts w:cs="Verdana"/>
        </w:rPr>
        <w:t xml:space="preserve">a </w:t>
      </w:r>
      <w:r w:rsidR="00942E38" w:rsidRPr="009B48F4">
        <w:rPr>
          <w:rFonts w:cs="Verdana"/>
        </w:rPr>
        <w:t>cal</w:t>
      </w:r>
      <w:r w:rsidR="009B48F4">
        <w:rPr>
          <w:rFonts w:cs="Verdana"/>
        </w:rPr>
        <w:t xml:space="preserve">are considerevolmente </w:t>
      </w:r>
      <w:r>
        <w:rPr>
          <w:rFonts w:cs="Verdana"/>
        </w:rPr>
        <w:t>entro il 2030</w:t>
      </w:r>
      <w:r w:rsidR="00942E38" w:rsidRPr="009B48F4">
        <w:rPr>
          <w:rFonts w:cs="Verdana"/>
        </w:rPr>
        <w:t xml:space="preserve">. Scenario diametralmente opposto è quello che si prospetta </w:t>
      </w:r>
      <w:r>
        <w:rPr>
          <w:rFonts w:cs="Verdana"/>
        </w:rPr>
        <w:t>per i</w:t>
      </w:r>
      <w:r w:rsidR="00942E38" w:rsidRPr="009B48F4">
        <w:rPr>
          <w:rFonts w:cs="Verdana"/>
        </w:rPr>
        <w:t xml:space="preserve"> paesi </w:t>
      </w:r>
      <w:r>
        <w:rPr>
          <w:rFonts w:cs="Verdana"/>
        </w:rPr>
        <w:t>non-Ocse</w:t>
      </w:r>
      <w:r w:rsidR="00942E38" w:rsidRPr="009B48F4">
        <w:rPr>
          <w:rFonts w:cs="Verdana"/>
        </w:rPr>
        <w:t xml:space="preserve"> </w:t>
      </w:r>
      <w:r>
        <w:rPr>
          <w:rFonts w:cs="Verdana"/>
        </w:rPr>
        <w:t xml:space="preserve">dove, </w:t>
      </w:r>
      <w:r w:rsidR="00942E38" w:rsidRPr="009B48F4">
        <w:rPr>
          <w:rFonts w:cs="Verdana"/>
        </w:rPr>
        <w:t xml:space="preserve">a causa </w:t>
      </w:r>
      <w:r>
        <w:rPr>
          <w:rFonts w:cs="Verdana"/>
        </w:rPr>
        <w:t>del</w:t>
      </w:r>
      <w:r w:rsidR="00942E38" w:rsidRPr="009B48F4">
        <w:rPr>
          <w:rFonts w:cs="Verdana"/>
        </w:rPr>
        <w:t xml:space="preserve"> minor sviluppo tecnologico, le emissioni di gas serra </w:t>
      </w:r>
      <w:r w:rsidRPr="009B48F4">
        <w:rPr>
          <w:rFonts w:cs="Verdana"/>
        </w:rPr>
        <w:t xml:space="preserve">aumenteranno </w:t>
      </w:r>
      <w:r>
        <w:rPr>
          <w:rFonts w:cs="Verdana"/>
        </w:rPr>
        <w:t xml:space="preserve">in modo consistente, con una tendenza alla riduzione </w:t>
      </w:r>
      <w:r w:rsidR="00942E38" w:rsidRPr="009B48F4">
        <w:rPr>
          <w:rFonts w:cs="Verdana"/>
        </w:rPr>
        <w:t>soltanto dopo il 2030.</w:t>
      </w:r>
    </w:p>
    <w:p w14:paraId="12B7EE0B" w14:textId="77777777" w:rsidR="000F7987" w:rsidRPr="00803C70" w:rsidRDefault="000F7987" w:rsidP="000F7987">
      <w:pPr>
        <w:ind w:left="720"/>
      </w:pPr>
    </w:p>
    <w:p w14:paraId="3533D7CA" w14:textId="77777777" w:rsidR="003153B2" w:rsidRDefault="00E31091" w:rsidP="00AA684B">
      <w:pPr>
        <w:numPr>
          <w:ilvl w:val="0"/>
          <w:numId w:val="1"/>
        </w:numPr>
        <w:jc w:val="both"/>
      </w:pPr>
      <w:r w:rsidRPr="00803C70">
        <w:t>Le</w:t>
      </w:r>
      <w:r w:rsidR="009D15B4" w:rsidRPr="00803C70">
        <w:t xml:space="preserve"> </w:t>
      </w:r>
      <w:r w:rsidR="00D10DB2" w:rsidRPr="00803C70">
        <w:t xml:space="preserve">politiche ambientali </w:t>
      </w:r>
      <w:r w:rsidR="00DB3653">
        <w:t>diventano quindi</w:t>
      </w:r>
      <w:r w:rsidRPr="00803C70">
        <w:t xml:space="preserve"> il </w:t>
      </w:r>
      <w:r w:rsidRPr="00803C70">
        <w:rPr>
          <w:i/>
        </w:rPr>
        <w:t>driver</w:t>
      </w:r>
      <w:r w:rsidRPr="00803C70">
        <w:t xml:space="preserve"> principale nel governo dei possibili scenari energetic</w:t>
      </w:r>
      <w:r w:rsidR="00013C6F" w:rsidRPr="00803C70">
        <w:t xml:space="preserve">i che possiamo immaginare oggi, </w:t>
      </w:r>
      <w:r w:rsidR="006E470B" w:rsidRPr="00803C70">
        <w:t xml:space="preserve">il cui obiettivo è </w:t>
      </w:r>
      <w:r w:rsidR="00DB3653">
        <w:t xml:space="preserve">appunto </w:t>
      </w:r>
      <w:r w:rsidR="006B0BF7" w:rsidRPr="00803C70">
        <w:t>la riduzione</w:t>
      </w:r>
      <w:r w:rsidR="0036736E">
        <w:t xml:space="preserve"> delle emissioni d</w:t>
      </w:r>
      <w:r w:rsidR="00A8533A">
        <w:t>i CO</w:t>
      </w:r>
      <w:r w:rsidR="00A8533A" w:rsidRPr="00E71039">
        <w:rPr>
          <w:vertAlign w:val="subscript"/>
        </w:rPr>
        <w:t>2</w:t>
      </w:r>
      <w:r w:rsidR="00A8533A">
        <w:t xml:space="preserve"> per contenere entro i 2°C </w:t>
      </w:r>
      <w:r w:rsidR="0036736E">
        <w:t>l’aumento della temperatura del pianeta.</w:t>
      </w:r>
    </w:p>
    <w:p w14:paraId="20EA3847" w14:textId="77777777" w:rsidR="007302D4" w:rsidRDefault="007302D4" w:rsidP="007302D4">
      <w:pPr>
        <w:pStyle w:val="Paragrafoelenco"/>
      </w:pPr>
    </w:p>
    <w:p w14:paraId="3A57E555" w14:textId="405B4F47" w:rsidR="00306056" w:rsidRDefault="007302D4" w:rsidP="00027E40">
      <w:pPr>
        <w:numPr>
          <w:ilvl w:val="0"/>
          <w:numId w:val="1"/>
        </w:numPr>
        <w:jc w:val="both"/>
      </w:pPr>
      <w:r>
        <w:t>Un tema al centro del dibattito internazionale, come accaduto nel recente G7 che si è tenuto a Garmish, conclusosi con la richiesta di un t</w:t>
      </w:r>
      <w:r w:rsidR="0036736E">
        <w:t>aglio del 7</w:t>
      </w:r>
      <w:r w:rsidR="00D14367">
        <w:t>0% delle emissioni di</w:t>
      </w:r>
      <w:r>
        <w:t xml:space="preserve"> C0</w:t>
      </w:r>
      <w:r w:rsidRPr="00E71039">
        <w:rPr>
          <w:vertAlign w:val="subscript"/>
        </w:rPr>
        <w:t>2</w:t>
      </w:r>
      <w:r w:rsidR="0036736E">
        <w:t xml:space="preserve"> rispetto al 2010,</w:t>
      </w:r>
      <w:r w:rsidR="00A8533A">
        <w:t xml:space="preserve"> entro il 2050, ma anche dell’azione dell’OGCI (Oil and Gas Climate Initiative).</w:t>
      </w:r>
    </w:p>
    <w:p w14:paraId="500076E1" w14:textId="77777777" w:rsidR="00306056" w:rsidRDefault="00306056" w:rsidP="00306056">
      <w:pPr>
        <w:pStyle w:val="Paragrafoelenco"/>
      </w:pPr>
    </w:p>
    <w:p w14:paraId="09FD2852" w14:textId="22A6A616" w:rsidR="00306056" w:rsidRDefault="00306056" w:rsidP="00027E40">
      <w:pPr>
        <w:numPr>
          <w:ilvl w:val="0"/>
          <w:numId w:val="1"/>
        </w:numPr>
        <w:jc w:val="both"/>
      </w:pPr>
      <w:r>
        <w:t xml:space="preserve">Condividiamo il messaggio contenuto nell’enciclica di Papa Francesco diffusa oggi, che chiede un mondo più sostenibile che guardi agli ultimi e si impegni per un uso saggio delle risorse naturali, anche se </w:t>
      </w:r>
      <w:r w:rsidR="00AD287E">
        <w:t>ci sono</w:t>
      </w:r>
      <w:r>
        <w:t xml:space="preserve"> problem</w:t>
      </w:r>
      <w:r w:rsidR="00AD287E">
        <w:t>i</w:t>
      </w:r>
      <w:r>
        <w:t xml:space="preserve"> di costi da condividere e di gestione della transizione.</w:t>
      </w:r>
    </w:p>
    <w:p w14:paraId="5B3B16EB" w14:textId="77777777" w:rsidR="00306056" w:rsidRPr="00803C70" w:rsidRDefault="00306056" w:rsidP="00306056">
      <w:pPr>
        <w:jc w:val="both"/>
      </w:pPr>
    </w:p>
    <w:p w14:paraId="5BE66639" w14:textId="608438EA" w:rsidR="00C764B6" w:rsidRPr="00C32DE7" w:rsidRDefault="003153B2" w:rsidP="00C32DE7">
      <w:pPr>
        <w:numPr>
          <w:ilvl w:val="0"/>
          <w:numId w:val="1"/>
        </w:numPr>
        <w:jc w:val="both"/>
      </w:pPr>
      <w:r w:rsidRPr="00803C70">
        <w:t xml:space="preserve">Nei prossimi 15 anni il mix energetico mondiale </w:t>
      </w:r>
      <w:r w:rsidR="00780147" w:rsidRPr="00803C70">
        <w:t xml:space="preserve">vedrà </w:t>
      </w:r>
      <w:r w:rsidR="00F44514" w:rsidRPr="00803C70">
        <w:t>comunque ancora</w:t>
      </w:r>
      <w:r w:rsidR="00780147" w:rsidRPr="00803C70">
        <w:t xml:space="preserve"> la preminenza dei combustibili fossili</w:t>
      </w:r>
      <w:r w:rsidR="00F83856" w:rsidRPr="00803C70">
        <w:t xml:space="preserve"> nel soddisfacimento </w:t>
      </w:r>
      <w:r w:rsidR="007F4750" w:rsidRPr="00803C70">
        <w:t>di questa</w:t>
      </w:r>
      <w:r w:rsidR="00F83856" w:rsidRPr="00803C70">
        <w:t xml:space="preserve"> crescente domanda di energia</w:t>
      </w:r>
      <w:r w:rsidR="00780147" w:rsidRPr="00803C70">
        <w:t>, p</w:t>
      </w:r>
      <w:r w:rsidR="00DD05D0" w:rsidRPr="00803C70">
        <w:t>ur</w:t>
      </w:r>
      <w:r w:rsidRPr="00803C70">
        <w:t xml:space="preserve"> </w:t>
      </w:r>
      <w:r w:rsidR="00B52B46">
        <w:t xml:space="preserve">scontando </w:t>
      </w:r>
      <w:r w:rsidRPr="00803C70">
        <w:t>l’</w:t>
      </w:r>
      <w:r w:rsidR="00DD05D0" w:rsidRPr="00803C70">
        <w:t>elevato contributo che potrà arrivare dall’efficienza energ</w:t>
      </w:r>
      <w:r w:rsidR="007620D8" w:rsidRPr="00803C70">
        <w:t>e</w:t>
      </w:r>
      <w:r w:rsidR="001C40BD">
        <w:t>tica e da</w:t>
      </w:r>
      <w:r w:rsidR="00780147" w:rsidRPr="00803C70">
        <w:t>lle fonti rinnovabili.</w:t>
      </w:r>
    </w:p>
    <w:p w14:paraId="6FE8EC65" w14:textId="67CAFA43" w:rsidR="00780147" w:rsidRPr="00C32DE7" w:rsidRDefault="00780147" w:rsidP="00C32DE7">
      <w:pPr>
        <w:jc w:val="center"/>
      </w:pPr>
    </w:p>
    <w:p w14:paraId="1BBB5C0A" w14:textId="0ED40E57" w:rsidR="00D17D83" w:rsidRPr="00803C70" w:rsidRDefault="00D17D83" w:rsidP="00750CC8">
      <w:pPr>
        <w:numPr>
          <w:ilvl w:val="0"/>
          <w:numId w:val="1"/>
        </w:numPr>
        <w:jc w:val="both"/>
      </w:pPr>
      <w:r w:rsidRPr="00803C70">
        <w:t>In tutti gli scenari delineati dall’Agenzia internazionale per l’energia per il 2030</w:t>
      </w:r>
      <w:r w:rsidR="0079475A">
        <w:t xml:space="preserve"> a livello mondiale</w:t>
      </w:r>
      <w:r w:rsidRPr="00803C70">
        <w:t>, anche quelli più virtuosi</w:t>
      </w:r>
      <w:r w:rsidRPr="00803C70">
        <w:rPr>
          <w:rStyle w:val="Rimandonotaapidipagina"/>
        </w:rPr>
        <w:footnoteReference w:id="1"/>
      </w:r>
      <w:r w:rsidRPr="00803C70">
        <w:t>, i combustibili fossili copriranno tra il 6</w:t>
      </w:r>
      <w:r w:rsidR="00250F3B">
        <w:t>9</w:t>
      </w:r>
      <w:r w:rsidRPr="00803C70">
        <w:t xml:space="preserve"> e </w:t>
      </w:r>
      <w:r w:rsidR="00D565FF">
        <w:t>il 77</w:t>
      </w:r>
      <w:r w:rsidRPr="00803C70">
        <w:t>% del mix energetico.</w:t>
      </w:r>
    </w:p>
    <w:p w14:paraId="7DC69D4F" w14:textId="77777777" w:rsidR="00D17D83" w:rsidRPr="00803C70" w:rsidRDefault="00D17D83" w:rsidP="00D17D83">
      <w:pPr>
        <w:ind w:left="720"/>
      </w:pPr>
    </w:p>
    <w:p w14:paraId="478DC9F3" w14:textId="77777777" w:rsidR="007620D8" w:rsidRPr="00803C70" w:rsidRDefault="00D17D83" w:rsidP="00750CC8">
      <w:pPr>
        <w:numPr>
          <w:ilvl w:val="0"/>
          <w:numId w:val="1"/>
        </w:numPr>
        <w:jc w:val="both"/>
      </w:pPr>
      <w:r w:rsidRPr="00803C70">
        <w:t>In ent</w:t>
      </w:r>
      <w:r w:rsidR="00931F33" w:rsidRPr="00803C70">
        <w:t>rambi i casi, il petrolio rimarrà</w:t>
      </w:r>
      <w:r w:rsidRPr="00803C70">
        <w:t xml:space="preserve"> la prima fonte di energia con una</w:t>
      </w:r>
      <w:r w:rsidR="0088190E" w:rsidRPr="00803C70">
        <w:t xml:space="preserve"> q</w:t>
      </w:r>
      <w:r w:rsidR="0088723D" w:rsidRPr="00803C70">
        <w:t xml:space="preserve">uota compresa tra il 26 e 28%, </w:t>
      </w:r>
      <w:r w:rsidR="0088190E" w:rsidRPr="00803C70">
        <w:t>confermandosi centrale per il settore dei trasporti e della mobilità (strada, aereo, nave)</w:t>
      </w:r>
      <w:r w:rsidR="005B08C9" w:rsidRPr="00803C70">
        <w:t>.</w:t>
      </w:r>
    </w:p>
    <w:p w14:paraId="258938A2" w14:textId="77777777" w:rsidR="004409A9" w:rsidRPr="00803C70" w:rsidRDefault="004409A9" w:rsidP="00BB4DAD">
      <w:pPr>
        <w:ind w:left="360"/>
      </w:pPr>
    </w:p>
    <w:p w14:paraId="1C4E7206" w14:textId="77777777" w:rsidR="00BB4DAD" w:rsidRPr="00803C70" w:rsidRDefault="00BB4DAD" w:rsidP="00BB4DAD">
      <w:pPr>
        <w:ind w:left="360"/>
      </w:pPr>
    </w:p>
    <w:p w14:paraId="08791B7D" w14:textId="77777777" w:rsidR="00BB4DAD" w:rsidRPr="00803C70" w:rsidRDefault="00BB4DAD" w:rsidP="00BB4DAD">
      <w:pPr>
        <w:ind w:left="360"/>
        <w:jc w:val="center"/>
        <w:rPr>
          <w:b/>
          <w:u w:val="single"/>
        </w:rPr>
      </w:pPr>
      <w:r w:rsidRPr="00803C70">
        <w:rPr>
          <w:b/>
          <w:u w:val="single"/>
        </w:rPr>
        <w:t xml:space="preserve">Slide </w:t>
      </w:r>
      <w:r w:rsidR="007765F2" w:rsidRPr="00803C70">
        <w:rPr>
          <w:b/>
          <w:u w:val="single"/>
        </w:rPr>
        <w:t>da 4</w:t>
      </w:r>
      <w:r w:rsidRPr="00803C70">
        <w:rPr>
          <w:b/>
          <w:u w:val="single"/>
        </w:rPr>
        <w:t xml:space="preserve"> a 7</w:t>
      </w:r>
    </w:p>
    <w:p w14:paraId="29202C94" w14:textId="77777777" w:rsidR="00BB4DAD" w:rsidRPr="00803C70" w:rsidRDefault="00BB4DAD" w:rsidP="00BB4DAD">
      <w:pPr>
        <w:ind w:left="360"/>
        <w:rPr>
          <w:b/>
          <w:u w:val="single"/>
        </w:rPr>
      </w:pPr>
    </w:p>
    <w:p w14:paraId="525AFD03" w14:textId="77777777" w:rsidR="005B08C9" w:rsidRPr="00803C70" w:rsidRDefault="00F83856" w:rsidP="00750CC8">
      <w:pPr>
        <w:numPr>
          <w:ilvl w:val="0"/>
          <w:numId w:val="1"/>
        </w:numPr>
        <w:jc w:val="both"/>
      </w:pPr>
      <w:r w:rsidRPr="00803C70">
        <w:t xml:space="preserve">In Europa, che </w:t>
      </w:r>
      <w:r w:rsidR="009958A8" w:rsidRPr="00803C70">
        <w:t>ha già</w:t>
      </w:r>
      <w:r w:rsidRPr="00803C70">
        <w:t xml:space="preserve"> ambiziosi obiettivi di riduzione delle emissioni</w:t>
      </w:r>
      <w:r w:rsidR="005B08C9" w:rsidRPr="00803C70">
        <w:t xml:space="preserve"> sia per il 2020 che il 2030</w:t>
      </w:r>
      <w:r w:rsidRPr="00803C70">
        <w:t xml:space="preserve">, i consumi di energia tenderanno invece a stabilizzarsi </w:t>
      </w:r>
      <w:r w:rsidR="005B08C9" w:rsidRPr="00803C70">
        <w:t xml:space="preserve">sebbene su un mix diverso che premierà in particolare il gas </w:t>
      </w:r>
      <w:r w:rsidR="007F4750" w:rsidRPr="00803C70">
        <w:t xml:space="preserve">naturale, </w:t>
      </w:r>
      <w:r w:rsidR="005B08C9" w:rsidRPr="00803C70">
        <w:t xml:space="preserve">destinato a diventare la prima fonte con un peso del 26-28% </w:t>
      </w:r>
      <w:r w:rsidR="00D50128" w:rsidRPr="00803C70">
        <w:t>(</w:t>
      </w:r>
      <w:r w:rsidR="005B08C9" w:rsidRPr="00803C70">
        <w:t>a seconda dello scenario di riferimento</w:t>
      </w:r>
      <w:r w:rsidR="00D50128" w:rsidRPr="00803C70">
        <w:t>)</w:t>
      </w:r>
      <w:r w:rsidR="005B08C9" w:rsidRPr="00803C70">
        <w:t>, seguito dalle rinnovabili con un 21-27%.</w:t>
      </w:r>
    </w:p>
    <w:p w14:paraId="07A92E5D" w14:textId="77777777" w:rsidR="00F83856" w:rsidRPr="00803C70" w:rsidRDefault="00F83856" w:rsidP="00750CC8">
      <w:pPr>
        <w:ind w:left="720"/>
        <w:jc w:val="both"/>
      </w:pPr>
    </w:p>
    <w:p w14:paraId="00646A33" w14:textId="343A5E8D" w:rsidR="005B08C9" w:rsidRPr="00803C70" w:rsidRDefault="005B08C9" w:rsidP="00750CC8">
      <w:pPr>
        <w:numPr>
          <w:ilvl w:val="0"/>
          <w:numId w:val="1"/>
        </w:numPr>
        <w:jc w:val="both"/>
      </w:pPr>
      <w:r w:rsidRPr="00803C70">
        <w:t>Il petrolio</w:t>
      </w:r>
      <w:r w:rsidR="001222F5" w:rsidRPr="00803C70">
        <w:t>,</w:t>
      </w:r>
      <w:r w:rsidRPr="00803C70">
        <w:t xml:space="preserve"> complessivamente</w:t>
      </w:r>
      <w:r w:rsidR="001222F5" w:rsidRPr="00803C70">
        <w:t>,</w:t>
      </w:r>
      <w:r w:rsidRPr="00803C70">
        <w:t xml:space="preserve"> è destinato a vedere ridotto sensibilmente il suo peso fino al </w:t>
      </w:r>
      <w:r w:rsidR="00D565FF">
        <w:t>23</w:t>
      </w:r>
      <w:r w:rsidRPr="00803C70">
        <w:t>-2</w:t>
      </w:r>
      <w:r w:rsidR="00D565FF">
        <w:t>6</w:t>
      </w:r>
      <w:r w:rsidRPr="00803C70">
        <w:t xml:space="preserve">% rispetto all’attuale 32%, ma resterà essenziale </w:t>
      </w:r>
      <w:r w:rsidR="00BB4DAD" w:rsidRPr="00803C70">
        <w:t>nel settore</w:t>
      </w:r>
      <w:r w:rsidRPr="00803C70">
        <w:t xml:space="preserve"> trasporti </w:t>
      </w:r>
      <w:r w:rsidR="00BB4DAD" w:rsidRPr="00803C70">
        <w:t xml:space="preserve">e risulterà fondamentale nel guidare la </w:t>
      </w:r>
      <w:r w:rsidRPr="00803C70">
        <w:t>transizione verso un’</w:t>
      </w:r>
      <w:r w:rsidR="00BB4DAD" w:rsidRPr="00803C70">
        <w:t xml:space="preserve">economia “de-carbonizzata” </w:t>
      </w:r>
      <w:r w:rsidR="007765F2" w:rsidRPr="00803C70">
        <w:t>che</w:t>
      </w:r>
      <w:r w:rsidRPr="00803C70">
        <w:t xml:space="preserve"> è l’obiettivo dell’Unione europea </w:t>
      </w:r>
      <w:r w:rsidR="00BB4DAD" w:rsidRPr="00803C70">
        <w:t>a</w:t>
      </w:r>
      <w:r w:rsidRPr="00803C70">
        <w:t>l 2050.</w:t>
      </w:r>
    </w:p>
    <w:p w14:paraId="274AD3C9" w14:textId="77777777" w:rsidR="004409A9" w:rsidRPr="00803C70" w:rsidRDefault="004409A9" w:rsidP="00750CC8">
      <w:pPr>
        <w:jc w:val="both"/>
      </w:pPr>
    </w:p>
    <w:p w14:paraId="7CAB94C4" w14:textId="77777777" w:rsidR="007765F2" w:rsidRPr="00803C70" w:rsidRDefault="007765F2" w:rsidP="00750CC8">
      <w:pPr>
        <w:numPr>
          <w:ilvl w:val="0"/>
          <w:numId w:val="1"/>
        </w:numPr>
        <w:jc w:val="both"/>
      </w:pPr>
      <w:r w:rsidRPr="00803C70">
        <w:t>Il contenimento delle emissioni nel settore dei trasporti è str</w:t>
      </w:r>
      <w:r w:rsidR="008474CF">
        <w:t>ettamente legato al passaggio a</w:t>
      </w:r>
      <w:r w:rsidRPr="00803C70">
        <w:t xml:space="preserve"> una mobilità a minore contenuto di carbonio che si può ottenere sia intervenendo sul miglioramento dell’efficienza dei veicoli, che sulla riduzione del carbonio nei fuel.</w:t>
      </w:r>
    </w:p>
    <w:p w14:paraId="5D772E1E" w14:textId="77777777" w:rsidR="007765F2" w:rsidRPr="00803C70" w:rsidRDefault="007765F2" w:rsidP="00750CC8">
      <w:pPr>
        <w:ind w:left="720"/>
        <w:jc w:val="both"/>
      </w:pPr>
    </w:p>
    <w:p w14:paraId="40312C1C" w14:textId="4D1C6A2A" w:rsidR="004409A9" w:rsidRPr="00803C70" w:rsidRDefault="00481BF1" w:rsidP="00750CC8">
      <w:pPr>
        <w:numPr>
          <w:ilvl w:val="0"/>
          <w:numId w:val="1"/>
        </w:numPr>
        <w:jc w:val="both"/>
      </w:pPr>
      <w:r w:rsidRPr="00803C70">
        <w:t>L</w:t>
      </w:r>
      <w:r w:rsidR="00F04CD5" w:rsidRPr="00803C70">
        <w:t>a</w:t>
      </w:r>
      <w:r w:rsidR="007765F2" w:rsidRPr="00803C70">
        <w:t xml:space="preserve"> domanda di energia nei trasporti in Europa</w:t>
      </w:r>
      <w:r w:rsidR="00B52B46">
        <w:t xml:space="preserve"> al 2030</w:t>
      </w:r>
      <w:r w:rsidR="007765F2" w:rsidRPr="00803C70">
        <w:t xml:space="preserve"> sarà </w:t>
      </w:r>
      <w:r w:rsidR="003F2CE5">
        <w:t>infatti</w:t>
      </w:r>
      <w:r w:rsidR="007765F2" w:rsidRPr="00803C70">
        <w:t xml:space="preserve"> soddisfatta dai prodotti petroliferi raffinati in una misura compresa </w:t>
      </w:r>
      <w:r w:rsidR="00BB4DAD" w:rsidRPr="00803C70">
        <w:t>tra il 72 e l’8</w:t>
      </w:r>
      <w:r w:rsidR="00D565FF">
        <w:t>4</w:t>
      </w:r>
      <w:r w:rsidR="00BB4DAD" w:rsidRPr="00803C70">
        <w:t xml:space="preserve">% </w:t>
      </w:r>
      <w:r w:rsidR="007765F2" w:rsidRPr="00803C70">
        <w:t xml:space="preserve">del totale </w:t>
      </w:r>
      <w:r w:rsidR="00BB4DAD" w:rsidRPr="00803C70">
        <w:t xml:space="preserve">(oggi </w:t>
      </w:r>
      <w:r w:rsidR="007765F2" w:rsidRPr="00803C70">
        <w:t>è</w:t>
      </w:r>
      <w:r w:rsidR="00BB4DAD" w:rsidRPr="00803C70">
        <w:t xml:space="preserve"> </w:t>
      </w:r>
      <w:r w:rsidR="007765F2" w:rsidRPr="00803C70">
        <w:t xml:space="preserve">intorno al 92%), </w:t>
      </w:r>
      <w:r w:rsidR="00D565FF">
        <w:t>tra i quali resteranno significativi</w:t>
      </w:r>
      <w:r w:rsidR="007765F2" w:rsidRPr="00803C70">
        <w:t xml:space="preserve"> </w:t>
      </w:r>
      <w:r w:rsidR="00D565FF">
        <w:t>quelli di</w:t>
      </w:r>
      <w:r w:rsidR="007765F2" w:rsidRPr="00803C70">
        <w:t xml:space="preserve"> gasolio che </w:t>
      </w:r>
      <w:r w:rsidR="00D565FF">
        <w:t>ha visto</w:t>
      </w:r>
      <w:r w:rsidR="007765F2" w:rsidRPr="00803C70">
        <w:t xml:space="preserve"> crescere la sua quota sino al 6</w:t>
      </w:r>
      <w:r w:rsidR="00D565FF">
        <w:t>2</w:t>
      </w:r>
      <w:r w:rsidR="007765F2" w:rsidRPr="00803C70">
        <w:t xml:space="preserve">% rispetto al 42% del 1990, mentre la benzina </w:t>
      </w:r>
      <w:r w:rsidR="00D565FF">
        <w:t xml:space="preserve">scendere sino </w:t>
      </w:r>
      <w:r w:rsidR="007765F2" w:rsidRPr="00803C70">
        <w:t>al 29% rispetto al 54%</w:t>
      </w:r>
      <w:r w:rsidR="007F4750" w:rsidRPr="00803C70">
        <w:t xml:space="preserve"> precedente</w:t>
      </w:r>
      <w:r w:rsidR="007765F2" w:rsidRPr="00803C70">
        <w:t>.</w:t>
      </w:r>
    </w:p>
    <w:p w14:paraId="397607A3" w14:textId="77777777" w:rsidR="00671672" w:rsidRPr="00803C70" w:rsidRDefault="00671672" w:rsidP="00750CC8">
      <w:pPr>
        <w:ind w:left="720"/>
        <w:jc w:val="both"/>
      </w:pPr>
    </w:p>
    <w:p w14:paraId="000FCD6A" w14:textId="77777777" w:rsidR="00601F3E" w:rsidRPr="00803C70" w:rsidRDefault="00996602" w:rsidP="00750CC8">
      <w:pPr>
        <w:numPr>
          <w:ilvl w:val="0"/>
          <w:numId w:val="1"/>
        </w:numPr>
        <w:jc w:val="both"/>
      </w:pPr>
      <w:r w:rsidRPr="00803C70">
        <w:t>Per rispondere a tali</w:t>
      </w:r>
      <w:r w:rsidR="00975E2F" w:rsidRPr="00803C70">
        <w:t xml:space="preserve"> </w:t>
      </w:r>
      <w:r w:rsidR="007765F2" w:rsidRPr="00803C70">
        <w:t>cambiamenti e</w:t>
      </w:r>
      <w:r w:rsidR="00DA03A0" w:rsidRPr="00803C70">
        <w:t xml:space="preserve"> </w:t>
      </w:r>
      <w:r w:rsidR="007765F2" w:rsidRPr="00803C70">
        <w:t>tenendo conto del crescente contributo dei biocarburanti avanzati,</w:t>
      </w:r>
      <w:r w:rsidR="00975E2F" w:rsidRPr="00803C70">
        <w:t xml:space="preserve"> </w:t>
      </w:r>
      <w:r w:rsidR="00601F3E" w:rsidRPr="00803C70">
        <w:t xml:space="preserve">avremo </w:t>
      </w:r>
      <w:r w:rsidRPr="00803C70">
        <w:t>comunque</w:t>
      </w:r>
      <w:r w:rsidR="00DA03A0" w:rsidRPr="00803C70">
        <w:t xml:space="preserve"> </w:t>
      </w:r>
      <w:r w:rsidR="00601F3E" w:rsidRPr="00803C70">
        <w:t>bisogno di un sistema di raffinazione in grado di soddisf</w:t>
      </w:r>
      <w:r w:rsidR="00DA03A0" w:rsidRPr="00803C70">
        <w:t xml:space="preserve">are </w:t>
      </w:r>
      <w:r w:rsidRPr="00803C70">
        <w:t>la</w:t>
      </w:r>
      <w:r w:rsidR="00DA03A0" w:rsidRPr="00803C70">
        <w:t xml:space="preserve"> domanda di mobilità nel rispetto delle regole e degli impegni di “de-carbonizzazione” che già sono stati presi per il 2020 e che dovranno essere definiti per il 2030-2050 a dicembre a Parigi</w:t>
      </w:r>
      <w:r w:rsidR="00601F3E" w:rsidRPr="00803C70">
        <w:t>.</w:t>
      </w:r>
    </w:p>
    <w:p w14:paraId="7947FCC6" w14:textId="77777777" w:rsidR="00601F3E" w:rsidRPr="00803C70" w:rsidRDefault="00601F3E" w:rsidP="00750CC8">
      <w:pPr>
        <w:ind w:left="720"/>
        <w:jc w:val="both"/>
      </w:pPr>
    </w:p>
    <w:p w14:paraId="59B92AA5" w14:textId="77777777" w:rsidR="00975E2F" w:rsidRDefault="00DA03A0" w:rsidP="00750CC8">
      <w:pPr>
        <w:numPr>
          <w:ilvl w:val="0"/>
          <w:numId w:val="1"/>
        </w:numPr>
        <w:jc w:val="both"/>
      </w:pPr>
      <w:r w:rsidRPr="00803C70">
        <w:t>Tale sforzo di riconversione</w:t>
      </w:r>
      <w:r w:rsidR="00FD073E" w:rsidRPr="00803C70">
        <w:t xml:space="preserve"> richiede </w:t>
      </w:r>
      <w:r w:rsidRPr="00803C70">
        <w:t>ingenti investimenti in innovazione tecnologica</w:t>
      </w:r>
      <w:r w:rsidR="00996602" w:rsidRPr="00803C70">
        <w:t xml:space="preserve"> e ricerca,</w:t>
      </w:r>
      <w:r w:rsidRPr="00803C70">
        <w:t xml:space="preserve"> che saranno possibili </w:t>
      </w:r>
      <w:r w:rsidR="00624A40">
        <w:t xml:space="preserve">solo </w:t>
      </w:r>
      <w:r w:rsidR="00996602" w:rsidRPr="00803C70">
        <w:t xml:space="preserve">se si riconosce </w:t>
      </w:r>
      <w:r w:rsidRPr="00803C70">
        <w:t xml:space="preserve">la strategicità </w:t>
      </w:r>
      <w:r w:rsidR="00FD073E" w:rsidRPr="00803C70">
        <w:t xml:space="preserve">del settore </w:t>
      </w:r>
      <w:r w:rsidRPr="00803C70">
        <w:t xml:space="preserve">ai fini della </w:t>
      </w:r>
      <w:r w:rsidRPr="00803C70">
        <w:lastRenderedPageBreak/>
        <w:t>sicu</w:t>
      </w:r>
      <w:r w:rsidR="00624A40">
        <w:t>rezza degli approvvigionamenti e lo si mette nelle condizioni di poter rispondere alla sfida che lo attende.</w:t>
      </w:r>
    </w:p>
    <w:p w14:paraId="19C9B98E" w14:textId="77777777" w:rsidR="008364BC" w:rsidRDefault="008364BC" w:rsidP="008364BC">
      <w:pPr>
        <w:pStyle w:val="Paragrafoelenco"/>
      </w:pPr>
    </w:p>
    <w:p w14:paraId="53F5DA6F" w14:textId="77777777" w:rsidR="008364BC" w:rsidRPr="00803C70" w:rsidRDefault="008364BC" w:rsidP="008364BC">
      <w:pPr>
        <w:ind w:left="720"/>
        <w:jc w:val="both"/>
      </w:pPr>
    </w:p>
    <w:p w14:paraId="5F32D02F" w14:textId="2CF767C4" w:rsidR="008364BC" w:rsidRPr="008364BC" w:rsidRDefault="008364BC" w:rsidP="008364BC">
      <w:pPr>
        <w:pStyle w:val="Paragrafoelenco"/>
        <w:jc w:val="center"/>
        <w:rPr>
          <w:b/>
          <w:u w:val="single"/>
        </w:rPr>
      </w:pPr>
      <w:r w:rsidRPr="008364BC">
        <w:rPr>
          <w:b/>
          <w:u w:val="single"/>
        </w:rPr>
        <w:t>Slide da 8 a 1</w:t>
      </w:r>
      <w:r w:rsidR="0080741B">
        <w:rPr>
          <w:b/>
          <w:u w:val="single"/>
        </w:rPr>
        <w:t>1</w:t>
      </w:r>
    </w:p>
    <w:p w14:paraId="2FA5E704" w14:textId="77777777" w:rsidR="00601F3E" w:rsidRPr="00803C70" w:rsidRDefault="00601F3E" w:rsidP="00601F3E"/>
    <w:p w14:paraId="0A9C4D96" w14:textId="77777777" w:rsidR="00BA68BB" w:rsidRDefault="008474CF" w:rsidP="001A5463">
      <w:pPr>
        <w:numPr>
          <w:ilvl w:val="0"/>
          <w:numId w:val="1"/>
        </w:numPr>
        <w:jc w:val="both"/>
      </w:pPr>
      <w:r>
        <w:t>L</w:t>
      </w:r>
      <w:r w:rsidR="00E30D33" w:rsidRPr="00803C70">
        <w:t>a crisi</w:t>
      </w:r>
      <w:r w:rsidR="00624A40">
        <w:t>,</w:t>
      </w:r>
      <w:r w:rsidR="00E30D33" w:rsidRPr="00803C70">
        <w:t xml:space="preserve"> </w:t>
      </w:r>
      <w:r w:rsidR="00624A40">
        <w:t xml:space="preserve">ormai </w:t>
      </w:r>
      <w:r>
        <w:t>str</w:t>
      </w:r>
      <w:r w:rsidR="00624A40">
        <w:t>ut</w:t>
      </w:r>
      <w:r>
        <w:t>turale</w:t>
      </w:r>
      <w:r w:rsidR="00624A40">
        <w:t>,</w:t>
      </w:r>
      <w:r>
        <w:t xml:space="preserve"> </w:t>
      </w:r>
      <w:r w:rsidR="00E30D33" w:rsidRPr="00803C70">
        <w:t xml:space="preserve">della raffinazione europea </w:t>
      </w:r>
      <w:r w:rsidR="00624A40">
        <w:t>è stata sicuramente indotta da</w:t>
      </w:r>
      <w:r w:rsidR="003B678F" w:rsidRPr="00803C70">
        <w:t xml:space="preserve">l calo dei consumi </w:t>
      </w:r>
      <w:r w:rsidR="00624A40">
        <w:t>dovuto al</w:t>
      </w:r>
      <w:r w:rsidR="003B678F" w:rsidRPr="00803C70">
        <w:t>la crisi e</w:t>
      </w:r>
      <w:r w:rsidR="00E30D33" w:rsidRPr="00803C70">
        <w:t xml:space="preserve"> alla concorrenza “sleale” delle raffinerie extra-Ue</w:t>
      </w:r>
      <w:r w:rsidR="00624A40">
        <w:t xml:space="preserve"> - </w:t>
      </w:r>
      <w:r w:rsidR="00E30D33" w:rsidRPr="00803C70">
        <w:t xml:space="preserve"> </w:t>
      </w:r>
    </w:p>
    <w:p w14:paraId="295931C2" w14:textId="77777777" w:rsidR="004B2E20" w:rsidRPr="00803C70" w:rsidRDefault="00E30D33" w:rsidP="001A5463">
      <w:pPr>
        <w:ind w:left="720"/>
        <w:jc w:val="both"/>
      </w:pPr>
      <w:r w:rsidRPr="00803C70">
        <w:t>che possono contare su incentivi</w:t>
      </w:r>
      <w:r w:rsidR="004B2E20" w:rsidRPr="00803C70">
        <w:t xml:space="preserve"> statali</w:t>
      </w:r>
      <w:r w:rsidRPr="00803C70">
        <w:t>, rido</w:t>
      </w:r>
      <w:r w:rsidR="004B3398" w:rsidRPr="00803C70">
        <w:t xml:space="preserve">tti oneri ambientali e sociali e un </w:t>
      </w:r>
      <w:r w:rsidR="00624A40">
        <w:t>basso costo dell’energia - m</w:t>
      </w:r>
      <w:r w:rsidR="00996602" w:rsidRPr="00803C70">
        <w:t xml:space="preserve">a anche </w:t>
      </w:r>
      <w:r w:rsidR="00624A40">
        <w:t>da</w:t>
      </w:r>
      <w:r w:rsidR="00A722E0" w:rsidRPr="00803C70">
        <w:t xml:space="preserve">l costo crescente della legislazione </w:t>
      </w:r>
      <w:r w:rsidR="004B2E20" w:rsidRPr="00803C70">
        <w:t>comunitaria che</w:t>
      </w:r>
      <w:r w:rsidR="004B3398" w:rsidRPr="00803C70">
        <w:t xml:space="preserve"> le stesse conclusioni del</w:t>
      </w:r>
      <w:r w:rsidR="00A722E0" w:rsidRPr="00803C70">
        <w:t xml:space="preserve"> “Fitness Check”</w:t>
      </w:r>
      <w:r w:rsidR="00624A40">
        <w:t xml:space="preserve"> </w:t>
      </w:r>
      <w:r w:rsidR="0038012B" w:rsidRPr="00803C70">
        <w:t>ha</w:t>
      </w:r>
      <w:r w:rsidR="00B52B46">
        <w:t xml:space="preserve"> riconosciuto, seppure parzialmente.</w:t>
      </w:r>
    </w:p>
    <w:p w14:paraId="5DD6B724" w14:textId="77777777" w:rsidR="004B2E20" w:rsidRPr="00803C70" w:rsidRDefault="004B2E20" w:rsidP="001A5463">
      <w:pPr>
        <w:ind w:left="720"/>
        <w:jc w:val="both"/>
      </w:pPr>
    </w:p>
    <w:p w14:paraId="113CCDDA" w14:textId="548C3DE6" w:rsidR="00DA03A0" w:rsidRPr="00803C70" w:rsidRDefault="004B3398" w:rsidP="001A5463">
      <w:pPr>
        <w:numPr>
          <w:ilvl w:val="0"/>
          <w:numId w:val="1"/>
        </w:numPr>
        <w:jc w:val="both"/>
      </w:pPr>
      <w:r w:rsidRPr="00803C70">
        <w:t>Il rapporto conclusivo</w:t>
      </w:r>
      <w:r w:rsidR="007F4750" w:rsidRPr="00803C70">
        <w:t>,</w:t>
      </w:r>
      <w:r w:rsidRPr="00803C70">
        <w:t xml:space="preserve"> d</w:t>
      </w:r>
      <w:r w:rsidR="007F4750" w:rsidRPr="00803C70">
        <w:t xml:space="preserve">iffuso proprio in questi giorni, </w:t>
      </w:r>
      <w:r w:rsidR="004B2E20" w:rsidRPr="00803C70">
        <w:t>pur stimando</w:t>
      </w:r>
      <w:r w:rsidRPr="00803C70">
        <w:t xml:space="preserve"> nel 20% la perdita di competit</w:t>
      </w:r>
      <w:r w:rsidR="00D14367">
        <w:t>ività</w:t>
      </w:r>
      <w:r w:rsidR="004B2E20" w:rsidRPr="00803C70">
        <w:t xml:space="preserve"> della raffinazione europea dovuta alle norme approvate negli ultimi 12 anni, non vede </w:t>
      </w:r>
      <w:r w:rsidR="0038012B" w:rsidRPr="00803C70">
        <w:t xml:space="preserve">tuttavia </w:t>
      </w:r>
      <w:r w:rsidR="004B2E20" w:rsidRPr="00803C70">
        <w:t>prioritari interventi tesi a correggere alcuni degli aspetti più critici, risultando in questo deludente rispetto alle attese.</w:t>
      </w:r>
    </w:p>
    <w:p w14:paraId="64B1DBA4" w14:textId="77777777" w:rsidR="00DA03A0" w:rsidRPr="00803C70" w:rsidRDefault="00DA03A0" w:rsidP="00DA03A0">
      <w:pPr>
        <w:ind w:left="720"/>
      </w:pPr>
    </w:p>
    <w:p w14:paraId="16440C4E" w14:textId="77777777" w:rsidR="00923865" w:rsidRPr="00923865" w:rsidRDefault="00923865" w:rsidP="00557FB7">
      <w:pPr>
        <w:numPr>
          <w:ilvl w:val="0"/>
          <w:numId w:val="1"/>
        </w:numPr>
        <w:jc w:val="both"/>
        <w:rPr>
          <w:color w:val="FF0000"/>
        </w:rPr>
      </w:pPr>
      <w:r w:rsidRPr="00803C70">
        <w:t>Per i prossimi anni questo costo è peraltro destinato a crescere e ciò non potrà non influire sul</w:t>
      </w:r>
      <w:r>
        <w:t>le scelte d’</w:t>
      </w:r>
      <w:r w:rsidRPr="00803C70">
        <w:t>investimento delle aziende.</w:t>
      </w:r>
    </w:p>
    <w:p w14:paraId="4B98CB20" w14:textId="77777777" w:rsidR="00923865" w:rsidRDefault="00923865" w:rsidP="00923865">
      <w:pPr>
        <w:pStyle w:val="Paragrafoelenco"/>
        <w:rPr>
          <w:color w:val="FF0000"/>
        </w:rPr>
      </w:pPr>
    </w:p>
    <w:p w14:paraId="7076C947" w14:textId="6FA9C68C" w:rsidR="004B2E20" w:rsidRPr="00803C70" w:rsidRDefault="00923865" w:rsidP="008364BC">
      <w:pPr>
        <w:numPr>
          <w:ilvl w:val="0"/>
          <w:numId w:val="1"/>
        </w:numPr>
        <w:jc w:val="both"/>
      </w:pPr>
      <w:r w:rsidRPr="00923865">
        <w:t>E’ quindi importante che la nuova legislazione</w:t>
      </w:r>
      <w:r w:rsidR="00B52B46">
        <w:t xml:space="preserve"> europea</w:t>
      </w:r>
      <w:r w:rsidRPr="00923865">
        <w:t xml:space="preserve"> non aggravi la situazione esistente e che si tenga comunque conto del Fitness Check nella valutazione delle nuove direttive</w:t>
      </w:r>
      <w:r>
        <w:t>,</w:t>
      </w:r>
      <w:r w:rsidRPr="00923865">
        <w:t xml:space="preserve"> per perseguire quello cui la stessa Commissione </w:t>
      </w:r>
      <w:r w:rsidR="00D14367">
        <w:t>europea</w:t>
      </w:r>
      <w:r w:rsidRPr="00923865">
        <w:t xml:space="preserve"> sta puntando e cioè una sempre </w:t>
      </w:r>
      <w:r>
        <w:t>è più</w:t>
      </w:r>
      <w:r w:rsidRPr="00923865">
        <w:t xml:space="preserve"> diffusa «Better Regulation»</w:t>
      </w:r>
      <w:r w:rsidR="004B2E20" w:rsidRPr="00923865">
        <w:t>.</w:t>
      </w:r>
    </w:p>
    <w:p w14:paraId="6A53BF96" w14:textId="77777777" w:rsidR="0038012B" w:rsidRPr="00803C70" w:rsidRDefault="0038012B" w:rsidP="0038012B">
      <w:pPr>
        <w:jc w:val="center"/>
        <w:rPr>
          <w:b/>
          <w:u w:val="single"/>
        </w:rPr>
      </w:pPr>
    </w:p>
    <w:p w14:paraId="29E9DAA0" w14:textId="77777777" w:rsidR="00224553" w:rsidRPr="00803C70" w:rsidRDefault="004B2E20" w:rsidP="001A0566">
      <w:pPr>
        <w:numPr>
          <w:ilvl w:val="0"/>
          <w:numId w:val="1"/>
        </w:numPr>
        <w:jc w:val="both"/>
      </w:pPr>
      <w:r w:rsidRPr="00803C70">
        <w:t xml:space="preserve">In un simile contesto, sono </w:t>
      </w:r>
      <w:r w:rsidR="0038012B" w:rsidRPr="00803C70">
        <w:t xml:space="preserve">dunque </w:t>
      </w:r>
      <w:r w:rsidRPr="00803C70">
        <w:t xml:space="preserve">molti gli ostacoli sulla strada di un effettivo </w:t>
      </w:r>
      <w:r w:rsidR="0044386C" w:rsidRPr="00803C70">
        <w:t>riassetto</w:t>
      </w:r>
      <w:r w:rsidRPr="00803C70">
        <w:t xml:space="preserve"> della raffinazione</w:t>
      </w:r>
      <w:r w:rsidR="0038012B" w:rsidRPr="00803C70">
        <w:t xml:space="preserve"> europea ed in particolare di quella </w:t>
      </w:r>
      <w:r w:rsidR="00224553" w:rsidRPr="00803C70">
        <w:t>nazionale</w:t>
      </w:r>
      <w:r w:rsidR="0038012B" w:rsidRPr="00803C70">
        <w:t xml:space="preserve"> che sul suo cammino trova un ulteriore “scalino”</w:t>
      </w:r>
      <w:r w:rsidR="00224553" w:rsidRPr="00803C70">
        <w:t>,</w:t>
      </w:r>
      <w:r w:rsidR="0038012B" w:rsidRPr="00803C70">
        <w:t xml:space="preserve"> </w:t>
      </w:r>
      <w:r w:rsidR="00224553" w:rsidRPr="00803C70">
        <w:t>tutto italiano.</w:t>
      </w:r>
    </w:p>
    <w:p w14:paraId="0B74ECA4" w14:textId="77777777" w:rsidR="004B2E20" w:rsidRPr="00803C70" w:rsidRDefault="004B2E20" w:rsidP="001A0566">
      <w:pPr>
        <w:ind w:left="720"/>
        <w:jc w:val="both"/>
      </w:pPr>
    </w:p>
    <w:p w14:paraId="1FA7121E" w14:textId="77777777" w:rsidR="00224553" w:rsidRPr="00803C70" w:rsidRDefault="00375018" w:rsidP="001A0566">
      <w:pPr>
        <w:numPr>
          <w:ilvl w:val="0"/>
          <w:numId w:val="1"/>
        </w:numPr>
        <w:jc w:val="both"/>
      </w:pPr>
      <w:r w:rsidRPr="00803C70">
        <w:t xml:space="preserve">Abbiamo costi operativi di sistema superiori ai nostri </w:t>
      </w:r>
      <w:r w:rsidRPr="00803C70">
        <w:rPr>
          <w:i/>
        </w:rPr>
        <w:t>competitor</w:t>
      </w:r>
      <w:r w:rsidRPr="00803C70">
        <w:t xml:space="preserve"> nordeuropei, un elevato costo dell’energia, inefficienze nel sistema portuale ed infrastrutturale, oneri amministrativi e burocratici dovuti a procedure </w:t>
      </w:r>
      <w:r w:rsidR="00F9143A">
        <w:t>farraginose</w:t>
      </w:r>
      <w:r w:rsidRPr="00803C70">
        <w:t xml:space="preserve"> e </w:t>
      </w:r>
      <w:r w:rsidR="000F03C7" w:rsidRPr="00803C70">
        <w:t>lunghissime</w:t>
      </w:r>
      <w:r w:rsidRPr="00803C70">
        <w:t>.</w:t>
      </w:r>
    </w:p>
    <w:p w14:paraId="676EC7C3" w14:textId="77777777" w:rsidR="00375018" w:rsidRPr="00803C70" w:rsidRDefault="00375018" w:rsidP="001A0566">
      <w:pPr>
        <w:ind w:left="720"/>
        <w:jc w:val="both"/>
      </w:pPr>
    </w:p>
    <w:p w14:paraId="1FF26CE4" w14:textId="394C5FFB" w:rsidR="00375018" w:rsidRPr="00803C70" w:rsidRDefault="00375018" w:rsidP="001A0566">
      <w:pPr>
        <w:numPr>
          <w:ilvl w:val="0"/>
          <w:numId w:val="1"/>
        </w:numPr>
        <w:jc w:val="both"/>
      </w:pPr>
      <w:r w:rsidRPr="00803C70">
        <w:t>Negli ultimi mesi</w:t>
      </w:r>
      <w:r w:rsidR="005C32B8" w:rsidRPr="00803C70">
        <w:t>,</w:t>
      </w:r>
      <w:r w:rsidRPr="00803C70">
        <w:t xml:space="preserve"> la positiva congiuntura dei prezzi del greggio</w:t>
      </w:r>
      <w:r w:rsidR="009F513E" w:rsidRPr="00803C70">
        <w:t xml:space="preserve"> ha permesso un lieve recupero dei margini di raffinazione</w:t>
      </w:r>
      <w:r w:rsidRPr="00803C70">
        <w:t xml:space="preserve">, </w:t>
      </w:r>
      <w:r w:rsidR="009F513E" w:rsidRPr="00803C70">
        <w:t xml:space="preserve">ma questo </w:t>
      </w:r>
      <w:r w:rsidRPr="00803C70">
        <w:t xml:space="preserve">non </w:t>
      </w:r>
      <w:r w:rsidR="005C32B8" w:rsidRPr="00803C70">
        <w:t>deve</w:t>
      </w:r>
      <w:r w:rsidR="009F513E" w:rsidRPr="00803C70">
        <w:t xml:space="preserve"> far </w:t>
      </w:r>
      <w:r w:rsidRPr="00803C70">
        <w:t xml:space="preserve">dimenticare i seri problemi di perdita di competitività </w:t>
      </w:r>
      <w:r w:rsidR="005C32B8" w:rsidRPr="00803C70">
        <w:t>del nostro sistema di raffinazione</w:t>
      </w:r>
      <w:r w:rsidR="00D14367">
        <w:t>,</w:t>
      </w:r>
      <w:r w:rsidR="005C32B8" w:rsidRPr="00803C70">
        <w:t xml:space="preserve"> </w:t>
      </w:r>
      <w:r w:rsidRPr="00803C70">
        <w:t>che</w:t>
      </w:r>
      <w:r w:rsidR="00E02660">
        <w:t xml:space="preserve"> restano immutati e</w:t>
      </w:r>
      <w:r w:rsidRPr="00803C70">
        <w:t xml:space="preserve"> </w:t>
      </w:r>
      <w:r w:rsidR="00F9143A">
        <w:t xml:space="preserve">ne </w:t>
      </w:r>
      <w:r w:rsidRPr="00803C70">
        <w:t>mettono a rischio la sostenibilità futura.</w:t>
      </w:r>
    </w:p>
    <w:p w14:paraId="324833A1" w14:textId="77777777" w:rsidR="00375018" w:rsidRPr="00803C70" w:rsidRDefault="00375018" w:rsidP="001A0566">
      <w:pPr>
        <w:ind w:left="360"/>
        <w:jc w:val="both"/>
      </w:pPr>
    </w:p>
    <w:p w14:paraId="16F1884C" w14:textId="77777777" w:rsidR="00E56955" w:rsidRPr="00803C70" w:rsidRDefault="00090293" w:rsidP="001A0566">
      <w:pPr>
        <w:numPr>
          <w:ilvl w:val="0"/>
          <w:numId w:val="1"/>
        </w:numPr>
        <w:jc w:val="both"/>
      </w:pPr>
      <w:r w:rsidRPr="00803C70">
        <w:t>L</w:t>
      </w:r>
      <w:r w:rsidR="00C80AC9" w:rsidRPr="00803C70">
        <w:t>‘industria della</w:t>
      </w:r>
      <w:r w:rsidR="00975E2F" w:rsidRPr="00803C70">
        <w:t xml:space="preserve"> raffinazione </w:t>
      </w:r>
      <w:r w:rsidR="00C80AC9" w:rsidRPr="00803C70">
        <w:t xml:space="preserve">italiana </w:t>
      </w:r>
      <w:r w:rsidR="00975E2F" w:rsidRPr="00803C70">
        <w:t>ha sempre risposto con tempestività, talora con anticipo, alla domanda di continuo miglioramento della qualità dei prodotti e dei processi</w:t>
      </w:r>
      <w:r w:rsidR="00E56955" w:rsidRPr="00803C70">
        <w:t>.</w:t>
      </w:r>
    </w:p>
    <w:p w14:paraId="4B069929" w14:textId="77777777" w:rsidR="00E56955" w:rsidRPr="00803C70" w:rsidRDefault="00E56955" w:rsidP="001A0566">
      <w:pPr>
        <w:ind w:left="720"/>
        <w:jc w:val="both"/>
      </w:pPr>
    </w:p>
    <w:p w14:paraId="572E93A8" w14:textId="737EDA56" w:rsidR="00510025" w:rsidRPr="00803C70" w:rsidRDefault="00E56955" w:rsidP="001A0566">
      <w:pPr>
        <w:numPr>
          <w:ilvl w:val="0"/>
          <w:numId w:val="1"/>
        </w:numPr>
        <w:jc w:val="both"/>
      </w:pPr>
      <w:r w:rsidRPr="00803C70">
        <w:t xml:space="preserve">Dal 1990, anno in cui </w:t>
      </w:r>
      <w:r w:rsidR="00510025" w:rsidRPr="00803C70">
        <w:t>si cominciò a parlare seriamente di come migliorare la qualità dei prodotti e dei processi con l’avvio del programma europeo “Auto Oil”, ad oggi</w:t>
      </w:r>
      <w:r w:rsidR="00D14367">
        <w:t>,</w:t>
      </w:r>
      <w:r w:rsidR="00510025" w:rsidRPr="00803C70">
        <w:t xml:space="preserve"> l’industria petrolifera nazionale si è impegnata concretamente per raffinerie sempre più sostenibili.</w:t>
      </w:r>
    </w:p>
    <w:p w14:paraId="30E38519" w14:textId="77777777" w:rsidR="00510025" w:rsidRPr="00803C70" w:rsidRDefault="00510025" w:rsidP="001A0566">
      <w:pPr>
        <w:ind w:left="720"/>
        <w:jc w:val="both"/>
      </w:pPr>
    </w:p>
    <w:p w14:paraId="2375ED98" w14:textId="45FF10F4" w:rsidR="00F9143A" w:rsidRPr="00803C70" w:rsidRDefault="00510025" w:rsidP="001A0566">
      <w:pPr>
        <w:numPr>
          <w:ilvl w:val="0"/>
          <w:numId w:val="1"/>
        </w:numPr>
        <w:jc w:val="both"/>
      </w:pPr>
      <w:r w:rsidRPr="00803C70">
        <w:lastRenderedPageBreak/>
        <w:t>Le emissioni dei principali inquinanti</w:t>
      </w:r>
      <w:r w:rsidR="000D5D26" w:rsidRPr="00803C70">
        <w:t xml:space="preserve"> durante i processi di lavorazione</w:t>
      </w:r>
      <w:r w:rsidRPr="00803C70">
        <w:t>, tra cui SO</w:t>
      </w:r>
      <w:r w:rsidRPr="0050132F">
        <w:rPr>
          <w:vertAlign w:val="subscript"/>
        </w:rPr>
        <w:t>2</w:t>
      </w:r>
      <w:r w:rsidRPr="00803C70">
        <w:t xml:space="preserve">, </w:t>
      </w:r>
      <w:r w:rsidRPr="00923865">
        <w:t>COV, NO</w:t>
      </w:r>
      <w:r w:rsidRPr="0050132F">
        <w:rPr>
          <w:vertAlign w:val="subscript"/>
        </w:rPr>
        <w:t>x</w:t>
      </w:r>
      <w:r w:rsidRPr="00923865">
        <w:t xml:space="preserve"> e PST, s</w:t>
      </w:r>
      <w:r w:rsidR="0044386C" w:rsidRPr="00923865">
        <w:t>ono stati ridott</w:t>
      </w:r>
      <w:r w:rsidR="000D5D26" w:rsidRPr="00923865">
        <w:t>e</w:t>
      </w:r>
      <w:r w:rsidR="00D14367">
        <w:t xml:space="preserve"> drasticamente:</w:t>
      </w:r>
      <w:r w:rsidR="0044386C" w:rsidRPr="00923865">
        <w:t xml:space="preserve"> tra il 70 e 90%</w:t>
      </w:r>
      <w:r w:rsidRPr="00923865">
        <w:t>.</w:t>
      </w:r>
      <w:r w:rsidR="00F9143A" w:rsidRPr="00923865">
        <w:t xml:space="preserve"> Altrettanto si può </w:t>
      </w:r>
      <w:r w:rsidR="00923865" w:rsidRPr="00923865">
        <w:t xml:space="preserve">dire sul miglioramento </w:t>
      </w:r>
      <w:r w:rsidR="00F9143A">
        <w:t>della qualità dei carburanti.</w:t>
      </w:r>
    </w:p>
    <w:p w14:paraId="7E28AE11" w14:textId="77777777" w:rsidR="00510025" w:rsidRPr="00803C70" w:rsidRDefault="00510025" w:rsidP="00510025">
      <w:pPr>
        <w:ind w:left="720"/>
      </w:pPr>
    </w:p>
    <w:p w14:paraId="1A1871BD" w14:textId="5EEC4131" w:rsidR="0084202D" w:rsidRPr="00C54A87" w:rsidRDefault="00A83CB1" w:rsidP="00C54A87">
      <w:pPr>
        <w:numPr>
          <w:ilvl w:val="0"/>
          <w:numId w:val="1"/>
        </w:numPr>
        <w:jc w:val="both"/>
      </w:pPr>
      <w:r w:rsidRPr="00803C70">
        <w:t xml:space="preserve">Per ottenere questi risultati, l’industria petrolifera nazionale ha investito oltre </w:t>
      </w:r>
      <w:r w:rsidR="001F1CB8">
        <w:br/>
      </w:r>
      <w:r w:rsidRPr="00803C70">
        <w:t xml:space="preserve">21 miliardi di euro </w:t>
      </w:r>
      <w:r w:rsidR="00975E2F" w:rsidRPr="00803C70">
        <w:t xml:space="preserve">in </w:t>
      </w:r>
      <w:r w:rsidR="00953586" w:rsidRPr="00803C70">
        <w:t xml:space="preserve">ricerca e </w:t>
      </w:r>
      <w:r w:rsidR="00975E2F" w:rsidRPr="00803C70">
        <w:t xml:space="preserve">tecnologia </w:t>
      </w:r>
      <w:r w:rsidRPr="00803C70">
        <w:t>sempre più sofisticata, in grado di minimizzare l’impatto ambientale anno dopo anno.</w:t>
      </w:r>
    </w:p>
    <w:p w14:paraId="36D02079" w14:textId="77777777" w:rsidR="0084202D" w:rsidRDefault="0084202D" w:rsidP="006666BB">
      <w:pPr>
        <w:jc w:val="center"/>
        <w:rPr>
          <w:b/>
          <w:u w:val="single"/>
        </w:rPr>
      </w:pPr>
    </w:p>
    <w:p w14:paraId="697AA05D" w14:textId="77777777" w:rsidR="0084202D" w:rsidRDefault="0084202D" w:rsidP="006666BB">
      <w:pPr>
        <w:jc w:val="center"/>
        <w:rPr>
          <w:b/>
          <w:u w:val="single"/>
        </w:rPr>
      </w:pPr>
    </w:p>
    <w:p w14:paraId="15A1FD50" w14:textId="23942A9A" w:rsidR="006666BB" w:rsidRPr="00803C70" w:rsidRDefault="006666BB" w:rsidP="006666BB">
      <w:pPr>
        <w:jc w:val="center"/>
        <w:rPr>
          <w:b/>
          <w:u w:val="single"/>
        </w:rPr>
      </w:pPr>
      <w:r w:rsidRPr="00803C70">
        <w:rPr>
          <w:b/>
          <w:u w:val="single"/>
        </w:rPr>
        <w:t>Slide da 1</w:t>
      </w:r>
      <w:r w:rsidR="0080741B">
        <w:rPr>
          <w:b/>
          <w:u w:val="single"/>
        </w:rPr>
        <w:t>2</w:t>
      </w:r>
      <w:r w:rsidRPr="00803C70">
        <w:rPr>
          <w:b/>
          <w:u w:val="single"/>
        </w:rPr>
        <w:t xml:space="preserve"> a 1</w:t>
      </w:r>
      <w:r w:rsidR="0080741B">
        <w:rPr>
          <w:b/>
          <w:u w:val="single"/>
        </w:rPr>
        <w:t>5</w:t>
      </w:r>
    </w:p>
    <w:p w14:paraId="027FB424" w14:textId="77777777" w:rsidR="00A83CB1" w:rsidRPr="00803C70" w:rsidRDefault="00A83CB1" w:rsidP="00510025">
      <w:pPr>
        <w:ind w:left="720"/>
      </w:pPr>
    </w:p>
    <w:p w14:paraId="782E86E4" w14:textId="089CD2EF" w:rsidR="00012D46" w:rsidRPr="00803C70" w:rsidRDefault="00012D46" w:rsidP="001F1CB8">
      <w:pPr>
        <w:numPr>
          <w:ilvl w:val="0"/>
          <w:numId w:val="1"/>
        </w:numPr>
        <w:jc w:val="both"/>
      </w:pPr>
      <w:r w:rsidRPr="00803C70">
        <w:t xml:space="preserve">L’industria petrolifera italiana è naturalmente pronta a fare ancora la sua parte, consapevole del ruolo </w:t>
      </w:r>
      <w:r w:rsidR="00953586" w:rsidRPr="00803C70">
        <w:t xml:space="preserve">chiave </w:t>
      </w:r>
      <w:r w:rsidRPr="00803C70">
        <w:t xml:space="preserve">che riveste e rivestirà nel garantire la mobilità dei cittadini, ma può farlo solo se è messa nelle condizioni di poter operare in un contesto di regole chiare, </w:t>
      </w:r>
      <w:r w:rsidR="00D14367">
        <w:t>non contraddittorie e razionali, ma soprattutto armonizzate a livello europeo.</w:t>
      </w:r>
    </w:p>
    <w:p w14:paraId="2BF9D36A" w14:textId="77777777" w:rsidR="005E6A0E" w:rsidRDefault="005E6A0E" w:rsidP="005E6A0E">
      <w:pPr>
        <w:pStyle w:val="Paragrafoelenco"/>
      </w:pPr>
    </w:p>
    <w:p w14:paraId="2A305A5B" w14:textId="77777777" w:rsidR="005E6A0E" w:rsidRDefault="00012D46" w:rsidP="006D7870">
      <w:pPr>
        <w:numPr>
          <w:ilvl w:val="0"/>
          <w:numId w:val="1"/>
        </w:numPr>
        <w:jc w:val="both"/>
      </w:pPr>
      <w:r w:rsidRPr="00803C70">
        <w:t>Solo in questo modo sarà possibile avviare un reale</w:t>
      </w:r>
      <w:r w:rsidR="00A61C97" w:rsidRPr="00803C70">
        <w:t xml:space="preserve"> e necessario</w:t>
      </w:r>
      <w:r w:rsidRPr="00803C70">
        <w:t xml:space="preserve"> “rightsizing” della nostra industria della raffinazione, che vuol dire </w:t>
      </w:r>
      <w:r w:rsidR="00A61C97" w:rsidRPr="00803C70">
        <w:t xml:space="preserve">investire ancora per </w:t>
      </w:r>
      <w:r w:rsidRPr="00803C70">
        <w:t xml:space="preserve">adeguare configurazione e capacità </w:t>
      </w:r>
      <w:r w:rsidR="00A61C97" w:rsidRPr="00803C70">
        <w:t>ai mutamenti della</w:t>
      </w:r>
      <w:r w:rsidRPr="00803C70">
        <w:t xml:space="preserve"> domanda </w:t>
      </w:r>
      <w:r w:rsidR="00A61C97" w:rsidRPr="00803C70">
        <w:t>e a standard ambientali sempre più stringenti.</w:t>
      </w:r>
      <w:r w:rsidRPr="00803C70">
        <w:t xml:space="preserve"> </w:t>
      </w:r>
    </w:p>
    <w:p w14:paraId="1C072E87" w14:textId="77777777" w:rsidR="005E6A0E" w:rsidRDefault="005E6A0E" w:rsidP="005E6A0E">
      <w:pPr>
        <w:pStyle w:val="Paragrafoelenco"/>
      </w:pPr>
    </w:p>
    <w:p w14:paraId="5A909FDF" w14:textId="27FA4947" w:rsidR="005E6A0E" w:rsidRDefault="005E6A0E" w:rsidP="006D7870">
      <w:pPr>
        <w:numPr>
          <w:ilvl w:val="0"/>
          <w:numId w:val="1"/>
        </w:numPr>
        <w:jc w:val="both"/>
      </w:pPr>
      <w:r>
        <w:t xml:space="preserve">In prospettiva 2030, la composizione dei consumi cambierà ancora e sarà sempre più orientata verso il gasolio, </w:t>
      </w:r>
      <w:r w:rsidR="0050132F">
        <w:t xml:space="preserve">inoltre </w:t>
      </w:r>
      <w:r>
        <w:t>dovrà tenere conto del crescente impiego dei biocarburanti avanzati e delle nuove specifiche per i bunkeraggi, il che richiederà adeguamenti ed investimenti.</w:t>
      </w:r>
    </w:p>
    <w:p w14:paraId="79521C01" w14:textId="77777777" w:rsidR="005E6A0E" w:rsidRDefault="005E6A0E" w:rsidP="005E6A0E"/>
    <w:p w14:paraId="5E094514" w14:textId="0E950F3F" w:rsidR="00012D46" w:rsidRPr="00803C70" w:rsidRDefault="00255906" w:rsidP="006D7870">
      <w:pPr>
        <w:numPr>
          <w:ilvl w:val="0"/>
          <w:numId w:val="1"/>
        </w:numPr>
        <w:jc w:val="both"/>
      </w:pPr>
      <w:r w:rsidRPr="00803C70">
        <w:t>A diminuire sarà</w:t>
      </w:r>
      <w:r w:rsidR="005E6A0E">
        <w:t xml:space="preserve"> </w:t>
      </w:r>
      <w:r w:rsidR="00A61C97" w:rsidRPr="00803C70">
        <w:t xml:space="preserve">la capacità </w:t>
      </w:r>
      <w:r w:rsidR="00C235C8">
        <w:t xml:space="preserve">totale </w:t>
      </w:r>
      <w:r w:rsidR="00A61C97" w:rsidRPr="00803C70">
        <w:t xml:space="preserve">di lavorazione degli impianti, </w:t>
      </w:r>
      <w:r w:rsidRPr="00803C70">
        <w:t xml:space="preserve">ma </w:t>
      </w:r>
      <w:r w:rsidR="00D14367">
        <w:t xml:space="preserve">aumenterà </w:t>
      </w:r>
      <w:r w:rsidR="00A61C97" w:rsidRPr="00803C70">
        <w:t xml:space="preserve">la loro complessità e di conseguenza la necessità di procedure chiare e veloci per permettere </w:t>
      </w:r>
      <w:r w:rsidR="00C235C8">
        <w:t xml:space="preserve">gli </w:t>
      </w:r>
      <w:r w:rsidR="00A61C97" w:rsidRPr="00803C70">
        <w:t>inter</w:t>
      </w:r>
      <w:r w:rsidR="001307CF" w:rsidRPr="00803C70">
        <w:t xml:space="preserve">venti e </w:t>
      </w:r>
      <w:r w:rsidR="00C235C8">
        <w:t xml:space="preserve">gli </w:t>
      </w:r>
      <w:r w:rsidR="001307CF" w:rsidRPr="00803C70">
        <w:t xml:space="preserve">investimenti che </w:t>
      </w:r>
      <w:r w:rsidR="005E6A0E">
        <w:t>tale</w:t>
      </w:r>
      <w:r w:rsidR="00865309">
        <w:t xml:space="preserve"> processo di</w:t>
      </w:r>
      <w:r w:rsidR="001307CF" w:rsidRPr="00803C70">
        <w:t xml:space="preserve"> </w:t>
      </w:r>
      <w:r w:rsidR="00DA3793" w:rsidRPr="00803C70">
        <w:t>“</w:t>
      </w:r>
      <w:r w:rsidR="001307CF" w:rsidRPr="00803C70">
        <w:t>rightsizing</w:t>
      </w:r>
      <w:r w:rsidR="00DA3793" w:rsidRPr="00803C70">
        <w:t>”</w:t>
      </w:r>
      <w:r w:rsidR="001307CF" w:rsidRPr="00803C70">
        <w:t xml:space="preserve"> richiede.</w:t>
      </w:r>
    </w:p>
    <w:p w14:paraId="24ABEDB4" w14:textId="77777777" w:rsidR="00A61C97" w:rsidRPr="0070639B" w:rsidRDefault="00A61C97" w:rsidP="006D7870">
      <w:pPr>
        <w:jc w:val="both"/>
        <w:rPr>
          <w:i/>
        </w:rPr>
      </w:pPr>
    </w:p>
    <w:p w14:paraId="72CAD945" w14:textId="3B4E17B8" w:rsidR="005E6A0E" w:rsidRPr="005E6A0E" w:rsidRDefault="005E6A0E" w:rsidP="006D7870">
      <w:pPr>
        <w:numPr>
          <w:ilvl w:val="0"/>
          <w:numId w:val="1"/>
        </w:numPr>
        <w:jc w:val="both"/>
      </w:pPr>
      <w:r w:rsidRPr="005E6A0E">
        <w:t>Ciò vale per i siti in esercizio che</w:t>
      </w:r>
      <w:r w:rsidR="00D14367">
        <w:t xml:space="preserve"> </w:t>
      </w:r>
      <w:r w:rsidRPr="005E6A0E">
        <w:t xml:space="preserve">si dovranno adeguare </w:t>
      </w:r>
      <w:r w:rsidR="00090D05" w:rsidRPr="005E6A0E">
        <w:t>per variare le rese dei prodotti</w:t>
      </w:r>
      <w:r w:rsidRPr="005E6A0E">
        <w:t xml:space="preserve">, </w:t>
      </w:r>
      <w:r w:rsidR="00090D05" w:rsidRPr="005E6A0E">
        <w:t>inco</w:t>
      </w:r>
      <w:r>
        <w:t>ntrare i nuovi limiti emissivi e</w:t>
      </w:r>
      <w:r w:rsidRPr="005E6A0E">
        <w:t xml:space="preserve"> </w:t>
      </w:r>
      <w:r w:rsidR="00090D05" w:rsidRPr="005E6A0E">
        <w:rPr>
          <w:bCs/>
        </w:rPr>
        <w:t xml:space="preserve">continuare </w:t>
      </w:r>
      <w:r w:rsidRPr="005E6A0E">
        <w:rPr>
          <w:bCs/>
        </w:rPr>
        <w:t xml:space="preserve">la </w:t>
      </w:r>
      <w:r w:rsidR="00090D05" w:rsidRPr="005E6A0E">
        <w:rPr>
          <w:bCs/>
        </w:rPr>
        <w:t xml:space="preserve">messa in sicurezza </w:t>
      </w:r>
      <w:r w:rsidRPr="005E6A0E">
        <w:t xml:space="preserve">operativa per </w:t>
      </w:r>
      <w:r>
        <w:t xml:space="preserve">la </w:t>
      </w:r>
      <w:r w:rsidRPr="005E6A0E">
        <w:t>futura bonifica.</w:t>
      </w:r>
    </w:p>
    <w:p w14:paraId="6AFE25D3" w14:textId="77777777" w:rsidR="005E6A0E" w:rsidRDefault="005E6A0E" w:rsidP="006D7870">
      <w:pPr>
        <w:pStyle w:val="Paragrafoelenco"/>
        <w:jc w:val="both"/>
      </w:pPr>
    </w:p>
    <w:p w14:paraId="32FDEFF0" w14:textId="77777777" w:rsidR="005E6A0E" w:rsidRDefault="005E6A0E" w:rsidP="006D7870">
      <w:pPr>
        <w:numPr>
          <w:ilvl w:val="0"/>
          <w:numId w:val="1"/>
        </w:numPr>
        <w:jc w:val="both"/>
      </w:pPr>
      <w:r w:rsidRPr="005E6A0E">
        <w:t xml:space="preserve">Ma anche per quelli in trasformazione (poli logistici, bioraffinerie, ecc.) che dovranno procedere con il </w:t>
      </w:r>
      <w:r w:rsidRPr="004A7214">
        <w:rPr>
          <w:i/>
        </w:rPr>
        <w:t>d</w:t>
      </w:r>
      <w:r w:rsidR="00090D05" w:rsidRPr="004A7214">
        <w:rPr>
          <w:bCs/>
          <w:i/>
        </w:rPr>
        <w:t>ecommissioning</w:t>
      </w:r>
      <w:r w:rsidRPr="005E6A0E">
        <w:rPr>
          <w:bCs/>
        </w:rPr>
        <w:t xml:space="preserve"> delle</w:t>
      </w:r>
      <w:r w:rsidR="00090D05" w:rsidRPr="005E6A0E">
        <w:rPr>
          <w:bCs/>
        </w:rPr>
        <w:t xml:space="preserve"> </w:t>
      </w:r>
      <w:r w:rsidR="00090D05" w:rsidRPr="005E6A0E">
        <w:t>strutture produttive</w:t>
      </w:r>
      <w:r w:rsidR="008E2255">
        <w:t xml:space="preserve"> e permettere anche l’eventuale recupero di</w:t>
      </w:r>
      <w:r w:rsidRPr="005E6A0E">
        <w:t xml:space="preserve"> </w:t>
      </w:r>
      <w:r w:rsidR="00090D05" w:rsidRPr="005E6A0E">
        <w:t xml:space="preserve">aree </w:t>
      </w:r>
      <w:r w:rsidR="00090D05" w:rsidRPr="004A7214">
        <w:rPr>
          <w:i/>
        </w:rPr>
        <w:t>brownfield</w:t>
      </w:r>
      <w:r w:rsidR="00090D05" w:rsidRPr="005E6A0E">
        <w:t xml:space="preserve"> </w:t>
      </w:r>
      <w:r w:rsidRPr="005E6A0E">
        <w:t>da destinare ad</w:t>
      </w:r>
      <w:r w:rsidR="00090D05" w:rsidRPr="005E6A0E">
        <w:t xml:space="preserve"> altro utilizzo (impianti fotovoltaici, altre rinnovabili, attività ec</w:t>
      </w:r>
      <w:r>
        <w:t>ocompatibili, commerciali, ecc.</w:t>
      </w:r>
      <w:r w:rsidR="00090D05" w:rsidRPr="005E6A0E">
        <w:t xml:space="preserve">), riducendo </w:t>
      </w:r>
      <w:r w:rsidRPr="005E6A0E">
        <w:t>così anche il consumo di suolo.</w:t>
      </w:r>
    </w:p>
    <w:p w14:paraId="52EA8D66" w14:textId="77777777" w:rsidR="005E6A0E" w:rsidRDefault="005E6A0E" w:rsidP="006D7870">
      <w:pPr>
        <w:jc w:val="both"/>
      </w:pPr>
    </w:p>
    <w:p w14:paraId="0B3F5946" w14:textId="05F23675" w:rsidR="005C4010" w:rsidRPr="008E2255" w:rsidRDefault="008E2255" w:rsidP="006D7870">
      <w:pPr>
        <w:numPr>
          <w:ilvl w:val="0"/>
          <w:numId w:val="1"/>
        </w:numPr>
        <w:jc w:val="both"/>
      </w:pPr>
      <w:r>
        <w:t>Rilevante è</w:t>
      </w:r>
      <w:r w:rsidR="001307CF" w:rsidRPr="0030484D">
        <w:t xml:space="preserve"> il caso </w:t>
      </w:r>
      <w:r>
        <w:t xml:space="preserve">del riesame delle </w:t>
      </w:r>
      <w:r w:rsidR="001307CF" w:rsidRPr="0030484D">
        <w:t xml:space="preserve">AIA </w:t>
      </w:r>
      <w:r w:rsidR="0074036F" w:rsidRPr="0030484D">
        <w:t xml:space="preserve">che </w:t>
      </w:r>
      <w:r>
        <w:t>dovrà avvenire</w:t>
      </w:r>
      <w:r w:rsidR="00865309">
        <w:t xml:space="preserve"> in tempi </w:t>
      </w:r>
      <w:r>
        <w:t xml:space="preserve">rapidissimi e che richiedono pertanto </w:t>
      </w:r>
      <w:r w:rsidR="00090D05" w:rsidRPr="008E2255">
        <w:t xml:space="preserve">una </w:t>
      </w:r>
      <w:r w:rsidRPr="00404F8C">
        <w:rPr>
          <w:bCs/>
          <w:i/>
        </w:rPr>
        <w:t>governance</w:t>
      </w:r>
      <w:r w:rsidRPr="008E2255">
        <w:rPr>
          <w:bCs/>
        </w:rPr>
        <w:t xml:space="preserve"> </w:t>
      </w:r>
      <w:r w:rsidR="00090D05" w:rsidRPr="008E2255">
        <w:rPr>
          <w:bCs/>
        </w:rPr>
        <w:t xml:space="preserve">centrale per </w:t>
      </w:r>
      <w:r>
        <w:t xml:space="preserve">l’applicazione di </w:t>
      </w:r>
      <w:r w:rsidR="00404F8C">
        <w:rPr>
          <w:bCs/>
        </w:rPr>
        <w:t>criteri omogene</w:t>
      </w:r>
      <w:r>
        <w:rPr>
          <w:bCs/>
        </w:rPr>
        <w:t>a livello territoriale</w:t>
      </w:r>
      <w:r w:rsidRPr="008E2255">
        <w:rPr>
          <w:bCs/>
        </w:rPr>
        <w:t xml:space="preserve"> </w:t>
      </w:r>
      <w:r w:rsidRPr="008E2255">
        <w:t xml:space="preserve">in </w:t>
      </w:r>
      <w:r>
        <w:t>materia</w:t>
      </w:r>
      <w:r w:rsidRPr="008E2255">
        <w:t xml:space="preserve"> di</w:t>
      </w:r>
      <w:r w:rsidR="00090D05" w:rsidRPr="008E2255">
        <w:t xml:space="preserve"> rispetto</w:t>
      </w:r>
      <w:r w:rsidRPr="008E2255">
        <w:t xml:space="preserve"> dei</w:t>
      </w:r>
      <w:r w:rsidR="00090D05" w:rsidRPr="008E2255">
        <w:t xml:space="preserve"> limiti BAT superiori</w:t>
      </w:r>
      <w:r w:rsidRPr="008E2255">
        <w:t xml:space="preserve">, </w:t>
      </w:r>
      <w:r>
        <w:t>u</w:t>
      </w:r>
      <w:r w:rsidR="00090D05" w:rsidRPr="008E2255">
        <w:t>tilizzo di t</w:t>
      </w:r>
      <w:r>
        <w:t xml:space="preserve">utte le flessibilità comunitarie, </w:t>
      </w:r>
      <w:r w:rsidRPr="008E2255">
        <w:t>e</w:t>
      </w:r>
      <w:r w:rsidR="00090D05" w:rsidRPr="008E2255">
        <w:t xml:space="preserve">fficace coordinamento con </w:t>
      </w:r>
      <w:r w:rsidRPr="008E2255">
        <w:t xml:space="preserve">le </w:t>
      </w:r>
      <w:r w:rsidR="00090D05" w:rsidRPr="008E2255">
        <w:t>specificità territoriali</w:t>
      </w:r>
      <w:r>
        <w:t>, puntando altresì ad una maggi</w:t>
      </w:r>
      <w:r w:rsidRPr="008E2255">
        <w:t xml:space="preserve">ore diffusione delle </w:t>
      </w:r>
      <w:r>
        <w:rPr>
          <w:bCs/>
        </w:rPr>
        <w:t>r</w:t>
      </w:r>
      <w:r w:rsidR="00090D05" w:rsidRPr="008E2255">
        <w:rPr>
          <w:bCs/>
        </w:rPr>
        <w:t>eti di monitoraggio nazionali</w:t>
      </w:r>
      <w:r w:rsidRPr="008E2255">
        <w:rPr>
          <w:bCs/>
        </w:rPr>
        <w:t xml:space="preserve"> pubbliche </w:t>
      </w:r>
      <w:r w:rsidR="00090D05" w:rsidRPr="008E2255">
        <w:rPr>
          <w:bCs/>
        </w:rPr>
        <w:t>finanziate anche con le tariffe</w:t>
      </w:r>
      <w:r w:rsidR="00D14367">
        <w:rPr>
          <w:bCs/>
        </w:rPr>
        <w:t xml:space="preserve"> AIA.</w:t>
      </w:r>
    </w:p>
    <w:p w14:paraId="18509664" w14:textId="77777777" w:rsidR="00E90C9E" w:rsidRPr="00803C70" w:rsidRDefault="00E90C9E" w:rsidP="00E90C9E">
      <w:pPr>
        <w:pStyle w:val="Paragrafoelenco"/>
      </w:pPr>
    </w:p>
    <w:p w14:paraId="66A64A80" w14:textId="77777777" w:rsidR="003F1F19" w:rsidRDefault="003F1F19" w:rsidP="002C5BD6">
      <w:pPr>
        <w:numPr>
          <w:ilvl w:val="0"/>
          <w:numId w:val="1"/>
        </w:numPr>
        <w:jc w:val="both"/>
      </w:pPr>
      <w:r>
        <w:lastRenderedPageBreak/>
        <w:t xml:space="preserve">Analogo discorso vale per le bonifiche che, nonostante le </w:t>
      </w:r>
      <w:r w:rsidR="00B52B46">
        <w:t xml:space="preserve">recenti </w:t>
      </w:r>
      <w:r>
        <w:t>semplificazioni</w:t>
      </w:r>
      <w:r w:rsidR="00B52B46">
        <w:t>, soprattutto con il Decreto ministeriale per la rete carburanti</w:t>
      </w:r>
      <w:r>
        <w:t>, necessitano ancora di tempi certi e risorse adeguate per la valutazione dei progetti presso i Ministeri competenti e gli Istituti di riferimento.</w:t>
      </w:r>
    </w:p>
    <w:p w14:paraId="1484F7FB" w14:textId="77777777" w:rsidR="00841DD8" w:rsidRPr="00803C70" w:rsidRDefault="00841DD8" w:rsidP="002C5BD6">
      <w:pPr>
        <w:pStyle w:val="Paragrafoelenco"/>
        <w:jc w:val="both"/>
      </w:pPr>
    </w:p>
    <w:p w14:paraId="4C2A05BD" w14:textId="77777777" w:rsidR="00D951D0" w:rsidRPr="00803C70" w:rsidRDefault="00C235C8" w:rsidP="002C5BD6">
      <w:pPr>
        <w:numPr>
          <w:ilvl w:val="0"/>
          <w:numId w:val="1"/>
        </w:numPr>
        <w:jc w:val="both"/>
      </w:pPr>
      <w:r>
        <w:t>Su tutto pesa la recente</w:t>
      </w:r>
      <w:r w:rsidR="00B85835" w:rsidRPr="00803C70">
        <w:t xml:space="preserve"> legge sui delitti ambientali</w:t>
      </w:r>
      <w:r>
        <w:t xml:space="preserve"> che introduce </w:t>
      </w:r>
      <w:r w:rsidR="00F94A7F">
        <w:t>pesanti</w:t>
      </w:r>
      <w:r>
        <w:t xml:space="preserve"> elementi di incertezza</w:t>
      </w:r>
      <w:r w:rsidR="00E254FF">
        <w:t xml:space="preserve">, come nel caso </w:t>
      </w:r>
      <w:r w:rsidR="001B29E9" w:rsidRPr="00803C70">
        <w:t xml:space="preserve">del ravvedimento operoso </w:t>
      </w:r>
      <w:r w:rsidR="00E254FF">
        <w:t xml:space="preserve">che </w:t>
      </w:r>
      <w:r w:rsidR="001B29E9" w:rsidRPr="00803C70">
        <w:t xml:space="preserve">nella sua attuale formulazione appare del </w:t>
      </w:r>
      <w:r w:rsidR="00F8755A">
        <w:t>tutto inattuabile, la</w:t>
      </w:r>
      <w:r w:rsidR="00E254FF">
        <w:t>scia</w:t>
      </w:r>
      <w:r w:rsidR="00F8755A">
        <w:t>ndo</w:t>
      </w:r>
      <w:r w:rsidR="00E254FF">
        <w:t xml:space="preserve"> spazi</w:t>
      </w:r>
      <w:r w:rsidR="00865309">
        <w:t>o</w:t>
      </w:r>
      <w:r w:rsidR="00E254FF">
        <w:t xml:space="preserve"> </w:t>
      </w:r>
      <w:r w:rsidR="00F94A7F">
        <w:t>a dubbi interpretativi</w:t>
      </w:r>
      <w:r w:rsidR="00E254FF">
        <w:t xml:space="preserve"> </w:t>
      </w:r>
      <w:r w:rsidR="00F8755A">
        <w:t>nella</w:t>
      </w:r>
      <w:r w:rsidR="001B29E9" w:rsidRPr="00803C70">
        <w:t xml:space="preserve"> </w:t>
      </w:r>
      <w:r w:rsidR="00F94A7F">
        <w:t>definizione</w:t>
      </w:r>
      <w:r w:rsidR="001B29E9" w:rsidRPr="00803C70">
        <w:t xml:space="preserve"> </w:t>
      </w:r>
      <w:r w:rsidR="00F94A7F">
        <w:t>di</w:t>
      </w:r>
      <w:r w:rsidR="001B29E9" w:rsidRPr="00803C70">
        <w:t xml:space="preserve"> inquinamen</w:t>
      </w:r>
      <w:r w:rsidR="00953586" w:rsidRPr="00803C70">
        <w:t xml:space="preserve">to e disastro ambientale e </w:t>
      </w:r>
      <w:r w:rsidR="001B29E9" w:rsidRPr="00803C70">
        <w:t>tra dolo e colpa</w:t>
      </w:r>
      <w:r w:rsidR="00B047E8">
        <w:t xml:space="preserve">, </w:t>
      </w:r>
      <w:r w:rsidR="00F94A7F">
        <w:t xml:space="preserve">nonché nella mancanza di </w:t>
      </w:r>
      <w:r w:rsidR="00B047E8">
        <w:t>meccanismi premiali per chi bonifica senza indugio</w:t>
      </w:r>
      <w:r w:rsidR="001B29E9" w:rsidRPr="00803C70">
        <w:t>.</w:t>
      </w:r>
    </w:p>
    <w:p w14:paraId="032B0E4A" w14:textId="77777777" w:rsidR="00D951D0" w:rsidRPr="00803C70" w:rsidRDefault="00D951D0" w:rsidP="002C5BD6">
      <w:pPr>
        <w:pStyle w:val="Paragrafoelenco"/>
        <w:jc w:val="both"/>
      </w:pPr>
    </w:p>
    <w:p w14:paraId="25CFCC34" w14:textId="50553B2D" w:rsidR="00865C62" w:rsidRPr="00803C70" w:rsidRDefault="001B29E9" w:rsidP="002C5BD6">
      <w:pPr>
        <w:numPr>
          <w:ilvl w:val="0"/>
          <w:numId w:val="1"/>
        </w:numPr>
        <w:jc w:val="both"/>
      </w:pPr>
      <w:r w:rsidRPr="00803C70">
        <w:t>Ciò non vuol</w:t>
      </w:r>
      <w:r w:rsidR="00D951D0" w:rsidRPr="00803C70">
        <w:t xml:space="preserve"> assolutamente</w:t>
      </w:r>
      <w:r w:rsidRPr="00803C70">
        <w:t xml:space="preserve"> </w:t>
      </w:r>
      <w:r w:rsidR="00D951D0" w:rsidRPr="00803C70">
        <w:t xml:space="preserve">dire che </w:t>
      </w:r>
      <w:r w:rsidR="00865C62" w:rsidRPr="00803C70">
        <w:t>l’industria non</w:t>
      </w:r>
      <w:r w:rsidR="00CB06C3" w:rsidRPr="00803C70">
        <w:t xml:space="preserve"> condivida</w:t>
      </w:r>
      <w:r w:rsidR="00B85835" w:rsidRPr="00803C70">
        <w:t xml:space="preserve"> </w:t>
      </w:r>
      <w:r w:rsidRPr="00803C70">
        <w:t>l</w:t>
      </w:r>
      <w:r w:rsidR="00D057A5">
        <w:t>e</w:t>
      </w:r>
      <w:r w:rsidR="00B85835" w:rsidRPr="00803C70">
        <w:t xml:space="preserve"> finalità </w:t>
      </w:r>
      <w:r w:rsidRPr="00803C70">
        <w:t>della legge che è quella di combattere la vera crimin</w:t>
      </w:r>
      <w:r w:rsidR="00E254FF">
        <w:t>alità ambientale e le ecomafie che colpisce la parte sana dell’industria italiana</w:t>
      </w:r>
      <w:r w:rsidR="00F85E6F" w:rsidRPr="00803C70">
        <w:t>,</w:t>
      </w:r>
      <w:r w:rsidR="00865C62" w:rsidRPr="00803C70">
        <w:t xml:space="preserve"> ma solo cercare di rendere </w:t>
      </w:r>
      <w:r w:rsidR="00A4613D" w:rsidRPr="00803C70">
        <w:t xml:space="preserve">realmente </w:t>
      </w:r>
      <w:r w:rsidR="00865C62" w:rsidRPr="00803C70">
        <w:t xml:space="preserve">efficace un </w:t>
      </w:r>
      <w:r w:rsidR="00846826" w:rsidRPr="00803C70">
        <w:t>provvedimento importante per la protezione dell’ambiente</w:t>
      </w:r>
      <w:r w:rsidR="009953A3">
        <w:t>,</w:t>
      </w:r>
      <w:r w:rsidR="00953586" w:rsidRPr="00803C70">
        <w:t xml:space="preserve"> che è un obiettivo condiviso </w:t>
      </w:r>
      <w:r w:rsidR="00F268BA" w:rsidRPr="00803C70">
        <w:t>da tutti</w:t>
      </w:r>
      <w:r w:rsidR="00865C62" w:rsidRPr="00803C70">
        <w:t>.</w:t>
      </w:r>
    </w:p>
    <w:p w14:paraId="2FD9BDE3" w14:textId="77777777" w:rsidR="00A31192" w:rsidRPr="00803C70" w:rsidRDefault="00A31192" w:rsidP="00A31192">
      <w:pPr>
        <w:pStyle w:val="Paragrafoelenco"/>
      </w:pPr>
    </w:p>
    <w:p w14:paraId="4F567386" w14:textId="77777777" w:rsidR="00846826" w:rsidRPr="00803C70" w:rsidRDefault="00846826" w:rsidP="00846826">
      <w:pPr>
        <w:pStyle w:val="Paragrafoelenco"/>
      </w:pPr>
    </w:p>
    <w:p w14:paraId="429AAF26" w14:textId="5759659B" w:rsidR="0077039E" w:rsidRPr="00803C70" w:rsidRDefault="0077039E" w:rsidP="00A31192">
      <w:pPr>
        <w:ind w:left="720"/>
        <w:jc w:val="center"/>
        <w:rPr>
          <w:b/>
          <w:u w:val="single"/>
        </w:rPr>
      </w:pPr>
      <w:r w:rsidRPr="00803C70">
        <w:rPr>
          <w:b/>
          <w:u w:val="single"/>
        </w:rPr>
        <w:t>Slide 1</w:t>
      </w:r>
      <w:r w:rsidR="0080741B">
        <w:rPr>
          <w:b/>
          <w:u w:val="single"/>
        </w:rPr>
        <w:t>6</w:t>
      </w:r>
      <w:r w:rsidR="00A31192" w:rsidRPr="00803C70">
        <w:rPr>
          <w:b/>
          <w:u w:val="single"/>
        </w:rPr>
        <w:t>-</w:t>
      </w:r>
      <w:r w:rsidR="004E5681" w:rsidRPr="00803C70">
        <w:rPr>
          <w:b/>
          <w:u w:val="single"/>
        </w:rPr>
        <w:t>1</w:t>
      </w:r>
      <w:r w:rsidR="0080741B">
        <w:rPr>
          <w:b/>
          <w:u w:val="single"/>
        </w:rPr>
        <w:t>8</w:t>
      </w:r>
    </w:p>
    <w:p w14:paraId="433E2BFB" w14:textId="77777777" w:rsidR="0077039E" w:rsidRPr="00803C70" w:rsidRDefault="0077039E" w:rsidP="0077039E">
      <w:pPr>
        <w:pStyle w:val="Paragrafoelenco"/>
      </w:pPr>
    </w:p>
    <w:p w14:paraId="432A1A98" w14:textId="77777777" w:rsidR="00846826" w:rsidRPr="00803C70" w:rsidRDefault="00CB06C3" w:rsidP="007D670B">
      <w:pPr>
        <w:numPr>
          <w:ilvl w:val="0"/>
          <w:numId w:val="1"/>
        </w:numPr>
        <w:jc w:val="both"/>
      </w:pPr>
      <w:r w:rsidRPr="00803C70">
        <w:t xml:space="preserve">Il concetto di </w:t>
      </w:r>
      <w:r w:rsidR="0077039E" w:rsidRPr="00803C70">
        <w:t>“</w:t>
      </w:r>
      <w:r w:rsidRPr="00803C70">
        <w:t>rightsizing</w:t>
      </w:r>
      <w:r w:rsidR="0077039E" w:rsidRPr="00803C70">
        <w:t>”</w:t>
      </w:r>
      <w:r w:rsidRPr="00803C70">
        <w:t xml:space="preserve"> può e deve essere esteso anche al resto della filiera</w:t>
      </w:r>
      <w:r w:rsidR="006666BB" w:rsidRPr="00803C70">
        <w:t xml:space="preserve"> del downstream,</w:t>
      </w:r>
      <w:r w:rsidRPr="00803C70">
        <w:t xml:space="preserve"> ossia </w:t>
      </w:r>
      <w:r w:rsidR="00A31192" w:rsidRPr="00803C70">
        <w:t>al</w:t>
      </w:r>
      <w:r w:rsidRPr="00803C70">
        <w:t>la l</w:t>
      </w:r>
      <w:r w:rsidR="006666BB" w:rsidRPr="00803C70">
        <w:t xml:space="preserve">ogistica e </w:t>
      </w:r>
      <w:r w:rsidR="00A31192" w:rsidRPr="00803C70">
        <w:t>al</w:t>
      </w:r>
      <w:r w:rsidR="006666BB" w:rsidRPr="00803C70">
        <w:t>la rete distributiva</w:t>
      </w:r>
      <w:r w:rsidR="00A31192" w:rsidRPr="00803C70">
        <w:t xml:space="preserve"> carburanti</w:t>
      </w:r>
      <w:r w:rsidR="006666BB" w:rsidRPr="00803C70">
        <w:t>, che hanno bisogno di interventi che siano coerenti con i nuovi assetti che si vanno delineando.</w:t>
      </w:r>
    </w:p>
    <w:p w14:paraId="414B0DF7" w14:textId="77777777" w:rsidR="006666BB" w:rsidRPr="00803C70" w:rsidRDefault="006666BB" w:rsidP="007D670B">
      <w:pPr>
        <w:pStyle w:val="Paragrafoelenco"/>
        <w:jc w:val="both"/>
      </w:pPr>
    </w:p>
    <w:p w14:paraId="776380EA" w14:textId="77777777" w:rsidR="001D4261" w:rsidRPr="00803C70" w:rsidRDefault="00A31192" w:rsidP="007D670B">
      <w:pPr>
        <w:numPr>
          <w:ilvl w:val="0"/>
          <w:numId w:val="1"/>
        </w:numPr>
        <w:jc w:val="both"/>
      </w:pPr>
      <w:r w:rsidRPr="00803C70">
        <w:t>Partendo dalla logistica</w:t>
      </w:r>
      <w:r w:rsidR="00F268BA" w:rsidRPr="00803C70">
        <w:t>,</w:t>
      </w:r>
      <w:r w:rsidR="001D4261" w:rsidRPr="00803C70">
        <w:t xml:space="preserve"> che è</w:t>
      </w:r>
      <w:r w:rsidRPr="00803C70">
        <w:t xml:space="preserve"> un elemento essenziale della filiera </w:t>
      </w:r>
      <w:r w:rsidR="00F268BA" w:rsidRPr="00803C70">
        <w:t>per rendere disponibili</w:t>
      </w:r>
      <w:r w:rsidR="001D4261" w:rsidRPr="00803C70">
        <w:t xml:space="preserve"> </w:t>
      </w:r>
      <w:r w:rsidRPr="00803C70">
        <w:t>i prodotti sul territorio</w:t>
      </w:r>
      <w:r w:rsidR="006C26A2">
        <w:t xml:space="preserve"> </w:t>
      </w:r>
      <w:r w:rsidR="00BC3910">
        <w:t xml:space="preserve">e </w:t>
      </w:r>
      <w:r w:rsidR="006C26A2">
        <w:t>pronti per la distribuzione</w:t>
      </w:r>
      <w:r w:rsidR="0057084F">
        <w:t>.</w:t>
      </w:r>
    </w:p>
    <w:p w14:paraId="3F557616" w14:textId="77777777" w:rsidR="001D4261" w:rsidRPr="00803C70" w:rsidRDefault="001D4261" w:rsidP="007D670B">
      <w:pPr>
        <w:pStyle w:val="Paragrafoelenco"/>
        <w:jc w:val="both"/>
      </w:pPr>
    </w:p>
    <w:p w14:paraId="4CA0052E" w14:textId="77777777" w:rsidR="003A4B22" w:rsidRPr="00803C70" w:rsidRDefault="001D4261" w:rsidP="007D670B">
      <w:pPr>
        <w:numPr>
          <w:ilvl w:val="0"/>
          <w:numId w:val="1"/>
        </w:numPr>
        <w:jc w:val="both"/>
      </w:pPr>
      <w:r w:rsidRPr="00803C70">
        <w:t>L’impegno delle aziende attive nella logistica</w:t>
      </w:r>
      <w:r w:rsidR="006C26A2">
        <w:t xml:space="preserve"> </w:t>
      </w:r>
      <w:r w:rsidRPr="00803C70">
        <w:t xml:space="preserve">è </w:t>
      </w:r>
      <w:r w:rsidR="006C26A2">
        <w:t xml:space="preserve">sempre </w:t>
      </w:r>
      <w:r w:rsidRPr="00803C70">
        <w:t>teso alla ricerca della mass</w:t>
      </w:r>
      <w:r w:rsidR="0057084F">
        <w:t xml:space="preserve">ima efficienza in tutte le fasi, </w:t>
      </w:r>
      <w:r w:rsidRPr="00803C70">
        <w:t xml:space="preserve">che </w:t>
      </w:r>
      <w:r w:rsidR="006C26A2">
        <w:t xml:space="preserve">però </w:t>
      </w:r>
      <w:r w:rsidRPr="00803C70">
        <w:t xml:space="preserve">a volte </w:t>
      </w:r>
      <w:r w:rsidR="003A4B22" w:rsidRPr="00803C70">
        <w:t xml:space="preserve">si scontra con alcuni </w:t>
      </w:r>
      <w:r w:rsidR="00F268BA" w:rsidRPr="00803C70">
        <w:t>ritardi strutturali del nostro P</w:t>
      </w:r>
      <w:r w:rsidR="003A4B22" w:rsidRPr="00803C70">
        <w:t>aese.</w:t>
      </w:r>
    </w:p>
    <w:p w14:paraId="31F391B9" w14:textId="77777777" w:rsidR="003A4B22" w:rsidRPr="00803C70" w:rsidRDefault="003A4B22" w:rsidP="007D670B">
      <w:pPr>
        <w:pStyle w:val="Paragrafoelenco"/>
        <w:jc w:val="both"/>
      </w:pPr>
    </w:p>
    <w:p w14:paraId="682A4224" w14:textId="3682308C" w:rsidR="00340383" w:rsidRPr="00803C70" w:rsidRDefault="003A4B22" w:rsidP="004547BD">
      <w:pPr>
        <w:numPr>
          <w:ilvl w:val="0"/>
          <w:numId w:val="1"/>
        </w:numPr>
        <w:jc w:val="both"/>
      </w:pPr>
      <w:r w:rsidRPr="00803C70">
        <w:t xml:space="preserve">Un esempio è l’efficienza del sistema portuale </w:t>
      </w:r>
      <w:r w:rsidR="00F268BA" w:rsidRPr="00803C70">
        <w:t xml:space="preserve">che è molto importante per </w:t>
      </w:r>
      <w:r w:rsidR="00340383" w:rsidRPr="00803C70">
        <w:t>l’Italia che muove via mare importanti volumi di prodotti petroli</w:t>
      </w:r>
      <w:r w:rsidR="00F268BA" w:rsidRPr="00803C70">
        <w:t xml:space="preserve">feri (import/export/cabotaggio), </w:t>
      </w:r>
      <w:r w:rsidR="003463B7">
        <w:t xml:space="preserve">che rappresentano </w:t>
      </w:r>
      <w:r w:rsidR="00A622A5">
        <w:t>circa</w:t>
      </w:r>
      <w:r w:rsidR="00340383" w:rsidRPr="00803C70">
        <w:t xml:space="preserve"> il </w:t>
      </w:r>
      <w:r w:rsidR="00A622A5">
        <w:t>4</w:t>
      </w:r>
      <w:r w:rsidR="003463B7">
        <w:t xml:space="preserve">0% dell’intero movimento merci, </w:t>
      </w:r>
      <w:r w:rsidR="00A622A5">
        <w:t xml:space="preserve">risultando </w:t>
      </w:r>
      <w:r w:rsidR="00AC7A82" w:rsidRPr="00AC7A82">
        <w:t>inoltre</w:t>
      </w:r>
      <w:r w:rsidR="00AC7A82">
        <w:t xml:space="preserve"> </w:t>
      </w:r>
      <w:r w:rsidR="00AC7A82" w:rsidRPr="00AC7A82">
        <w:t>la prima in Europa per il cabotaggio.</w:t>
      </w:r>
      <w:bookmarkStart w:id="0" w:name="_GoBack"/>
      <w:bookmarkEnd w:id="0"/>
    </w:p>
    <w:p w14:paraId="38385A69" w14:textId="77777777" w:rsidR="00340383" w:rsidRPr="00803C70" w:rsidRDefault="00340383" w:rsidP="007D670B">
      <w:pPr>
        <w:pStyle w:val="Paragrafoelenco"/>
        <w:jc w:val="both"/>
      </w:pPr>
    </w:p>
    <w:p w14:paraId="64F1473B" w14:textId="77777777" w:rsidR="006666BB" w:rsidRPr="00803C70" w:rsidRDefault="00CC496B" w:rsidP="007D670B">
      <w:pPr>
        <w:numPr>
          <w:ilvl w:val="0"/>
          <w:numId w:val="1"/>
        </w:numPr>
        <w:jc w:val="both"/>
      </w:pPr>
      <w:r w:rsidRPr="00803C70">
        <w:t>P</w:t>
      </w:r>
      <w:r w:rsidR="00F268BA" w:rsidRPr="00803C70">
        <w:t>orti inefficienti pregiudicano pertanto l</w:t>
      </w:r>
      <w:r w:rsidR="00340383" w:rsidRPr="00803C70">
        <w:t>a competitività del settore</w:t>
      </w:r>
      <w:r w:rsidR="00F268BA" w:rsidRPr="00803C70">
        <w:t>,</w:t>
      </w:r>
      <w:r w:rsidR="00340383" w:rsidRPr="00803C70">
        <w:t xml:space="preserve"> </w:t>
      </w:r>
      <w:r w:rsidRPr="00803C70">
        <w:t>tenuto conto che</w:t>
      </w:r>
      <w:r w:rsidR="00340383" w:rsidRPr="00803C70">
        <w:t xml:space="preserve"> </w:t>
      </w:r>
      <w:r w:rsidRPr="00803C70">
        <w:t>abbiamo</w:t>
      </w:r>
      <w:r w:rsidR="00340383" w:rsidRPr="00803C70">
        <w:t xml:space="preserve"> tasse portuali disomogenee e tra le più alte in Europa</w:t>
      </w:r>
      <w:r w:rsidRPr="00803C70">
        <w:t>, servizi portuali non concorren</w:t>
      </w:r>
      <w:r w:rsidR="0057084F">
        <w:t xml:space="preserve">ziali, concessioni demaniali di </w:t>
      </w:r>
      <w:r w:rsidRPr="00803C70">
        <w:t xml:space="preserve">breve durata. </w:t>
      </w:r>
    </w:p>
    <w:p w14:paraId="1746A184" w14:textId="77777777" w:rsidR="00CC496B" w:rsidRPr="00803C70" w:rsidRDefault="00CC496B" w:rsidP="007D670B">
      <w:pPr>
        <w:pStyle w:val="Paragrafoelenco"/>
        <w:jc w:val="both"/>
      </w:pPr>
    </w:p>
    <w:p w14:paraId="0BAEFAD5" w14:textId="584092C8" w:rsidR="0007669A" w:rsidRPr="00803C70" w:rsidRDefault="00CC496B" w:rsidP="007D670B">
      <w:pPr>
        <w:numPr>
          <w:ilvl w:val="0"/>
          <w:numId w:val="1"/>
        </w:numPr>
        <w:jc w:val="both"/>
      </w:pPr>
      <w:r w:rsidRPr="00803C70">
        <w:t xml:space="preserve">È importante </w:t>
      </w:r>
      <w:r w:rsidR="0007669A" w:rsidRPr="00803C70">
        <w:t xml:space="preserve">che </w:t>
      </w:r>
      <w:r w:rsidR="003463B7">
        <w:t>si vada</w:t>
      </w:r>
      <w:r w:rsidRPr="00803C70">
        <w:t xml:space="preserve"> avanti</w:t>
      </w:r>
      <w:r w:rsidR="00F268BA" w:rsidRPr="00803C70">
        <w:t>,</w:t>
      </w:r>
      <w:r w:rsidR="0007669A" w:rsidRPr="00803C70">
        <w:t xml:space="preserve"> </w:t>
      </w:r>
      <w:r w:rsidR="00F268BA" w:rsidRPr="00803C70">
        <w:t>in modo deciso</w:t>
      </w:r>
      <w:r w:rsidR="0007669A" w:rsidRPr="00803C70">
        <w:t>,</w:t>
      </w:r>
      <w:r w:rsidRPr="00803C70">
        <w:t xml:space="preserve"> </w:t>
      </w:r>
      <w:r w:rsidR="003463B7">
        <w:t xml:space="preserve">con </w:t>
      </w:r>
      <w:r w:rsidRPr="00803C70">
        <w:t>l’annunciata rifo</w:t>
      </w:r>
      <w:r w:rsidR="00012EA2">
        <w:t>rma dei porti e della logistica. È essenziale stabilire</w:t>
      </w:r>
      <w:r w:rsidR="00F268BA" w:rsidRPr="00803C70">
        <w:t xml:space="preserve"> una </w:t>
      </w:r>
      <w:r w:rsidR="00F268BA" w:rsidRPr="000908FF">
        <w:rPr>
          <w:i/>
        </w:rPr>
        <w:t>governance</w:t>
      </w:r>
      <w:r w:rsidR="00F268BA" w:rsidRPr="00803C70">
        <w:t xml:space="preserve"> centrale per tutti gli aspe</w:t>
      </w:r>
      <w:r w:rsidR="0057084F">
        <w:t xml:space="preserve">tti amministrativi e finanziari e </w:t>
      </w:r>
      <w:r w:rsidR="00012EA2">
        <w:t>riconoscere</w:t>
      </w:r>
      <w:r w:rsidR="0057084F">
        <w:t xml:space="preserve"> un</w:t>
      </w:r>
      <w:r w:rsidR="00F268BA" w:rsidRPr="00803C70">
        <w:t>a adeguata durata delle concessioni</w:t>
      </w:r>
      <w:r w:rsidR="00CC676F">
        <w:t xml:space="preserve"> relativamente agli investimenti richiesti</w:t>
      </w:r>
      <w:r w:rsidR="00F268BA" w:rsidRPr="00803C70">
        <w:t>.</w:t>
      </w:r>
      <w:r w:rsidR="0007669A" w:rsidRPr="00803C70">
        <w:rPr>
          <w:b/>
        </w:rPr>
        <w:t xml:space="preserve"> </w:t>
      </w:r>
    </w:p>
    <w:p w14:paraId="52D9617E" w14:textId="77777777" w:rsidR="0007669A" w:rsidRPr="00803C70" w:rsidRDefault="0007669A" w:rsidP="0057084F">
      <w:pPr>
        <w:ind w:left="360"/>
      </w:pPr>
    </w:p>
    <w:p w14:paraId="787E0DBD" w14:textId="77777777" w:rsidR="00F268BA" w:rsidRDefault="00F268BA" w:rsidP="00A2586B">
      <w:pPr>
        <w:numPr>
          <w:ilvl w:val="0"/>
          <w:numId w:val="1"/>
        </w:numPr>
        <w:jc w:val="both"/>
      </w:pPr>
      <w:r w:rsidRPr="00803C70">
        <w:t xml:space="preserve">Un esempio di utilizzo positivo della logistica esistente è rappresentato dalla </w:t>
      </w:r>
      <w:r w:rsidR="00B339FD" w:rsidRPr="00803C70">
        <w:t>gestione e mantenimento delle scorte d’obbligo</w:t>
      </w:r>
      <w:r w:rsidR="0057084F">
        <w:t xml:space="preserve"> d</w:t>
      </w:r>
      <w:r w:rsidRPr="00803C70">
        <w:t>a parte dell’Ocsit</w:t>
      </w:r>
      <w:r w:rsidR="00B150B2" w:rsidRPr="00803C70">
        <w:t>, avviato nel 2012 e ormai</w:t>
      </w:r>
      <w:r w:rsidR="00B339FD" w:rsidRPr="00803C70">
        <w:t xml:space="preserve"> </w:t>
      </w:r>
      <w:r w:rsidRPr="00803C70">
        <w:t>entrato a regime.</w:t>
      </w:r>
    </w:p>
    <w:p w14:paraId="4FDDF40A" w14:textId="77777777" w:rsidR="00756196" w:rsidRDefault="00756196" w:rsidP="00756196">
      <w:pPr>
        <w:pStyle w:val="Paragrafoelenco"/>
      </w:pPr>
    </w:p>
    <w:p w14:paraId="16E20C3D" w14:textId="77777777" w:rsidR="008065DC" w:rsidRPr="00803C70" w:rsidRDefault="008065DC" w:rsidP="000B2DF0"/>
    <w:p w14:paraId="78FC4E4F" w14:textId="7A44ED2B" w:rsidR="004E5681" w:rsidRPr="00803C70" w:rsidRDefault="004E5681" w:rsidP="004E5681">
      <w:pPr>
        <w:ind w:left="720"/>
        <w:jc w:val="center"/>
      </w:pPr>
      <w:r w:rsidRPr="00803C70">
        <w:rPr>
          <w:b/>
          <w:u w:val="single"/>
        </w:rPr>
        <w:t xml:space="preserve">Slide </w:t>
      </w:r>
      <w:r w:rsidR="0080741B">
        <w:rPr>
          <w:b/>
          <w:u w:val="single"/>
        </w:rPr>
        <w:t>19</w:t>
      </w:r>
      <w:r w:rsidRPr="00803C70">
        <w:rPr>
          <w:b/>
          <w:u w:val="single"/>
        </w:rPr>
        <w:t>-2</w:t>
      </w:r>
      <w:r w:rsidR="008E1AA1">
        <w:rPr>
          <w:b/>
          <w:u w:val="single"/>
        </w:rPr>
        <w:t>4</w:t>
      </w:r>
    </w:p>
    <w:p w14:paraId="025517DA" w14:textId="77777777" w:rsidR="004E5681" w:rsidRPr="00803C70" w:rsidRDefault="004E5681" w:rsidP="004E5681">
      <w:pPr>
        <w:pStyle w:val="Paragrafoelenco"/>
      </w:pPr>
    </w:p>
    <w:p w14:paraId="1580B015" w14:textId="77777777" w:rsidR="00065A34" w:rsidRDefault="00065A34" w:rsidP="000F23DF">
      <w:pPr>
        <w:numPr>
          <w:ilvl w:val="0"/>
          <w:numId w:val="1"/>
        </w:numPr>
        <w:jc w:val="both"/>
      </w:pPr>
      <w:r>
        <w:t xml:space="preserve">Proseguendo </w:t>
      </w:r>
      <w:r w:rsidR="00D30181">
        <w:t>sul</w:t>
      </w:r>
      <w:r>
        <w:t xml:space="preserve"> concetto di “rightsizing”, </w:t>
      </w:r>
      <w:r w:rsidR="00D30181">
        <w:t xml:space="preserve">esso </w:t>
      </w:r>
      <w:r>
        <w:t>appare più che mai necessario anche per la rete carburanti.</w:t>
      </w:r>
    </w:p>
    <w:p w14:paraId="04EFDDB7" w14:textId="77777777" w:rsidR="00065A34" w:rsidRDefault="00065A34" w:rsidP="00065A34">
      <w:pPr>
        <w:ind w:left="720"/>
      </w:pPr>
    </w:p>
    <w:p w14:paraId="011975EC" w14:textId="404BDB12" w:rsidR="008065DC" w:rsidRPr="00803C70" w:rsidRDefault="00065A34" w:rsidP="000F23DF">
      <w:pPr>
        <w:numPr>
          <w:ilvl w:val="0"/>
          <w:numId w:val="1"/>
        </w:numPr>
        <w:jc w:val="both"/>
      </w:pPr>
      <w:r>
        <w:t xml:space="preserve">Particolarmente </w:t>
      </w:r>
      <w:r w:rsidR="004E5681" w:rsidRPr="00803C70">
        <w:t>critica è</w:t>
      </w:r>
      <w:r>
        <w:t xml:space="preserve"> </w:t>
      </w:r>
      <w:r w:rsidR="004E5681" w:rsidRPr="00803C70">
        <w:t>la situazione che si è venuta a determinare sulla rete carburanti autostradale che in questi ultimi anni ha visto dimezzarsi i volumi venduti</w:t>
      </w:r>
      <w:r w:rsidR="00F268BA" w:rsidRPr="00803C70">
        <w:t>, in parte per la disaffezione dell’utenza</w:t>
      </w:r>
      <w:r w:rsidR="00E173A9" w:rsidRPr="00803C70">
        <w:t xml:space="preserve"> che </w:t>
      </w:r>
      <w:r w:rsidR="00F268BA" w:rsidRPr="00803C70">
        <w:t xml:space="preserve">non trova più conveniente rifornirsi in autostrada visto </w:t>
      </w:r>
      <w:r w:rsidR="00E173A9" w:rsidRPr="00803C70">
        <w:t xml:space="preserve">l’eccessivo numero di </w:t>
      </w:r>
      <w:r>
        <w:t xml:space="preserve">punti </w:t>
      </w:r>
      <w:r w:rsidR="00FF17CA">
        <w:t>vendita</w:t>
      </w:r>
      <w:r w:rsidR="00E173A9" w:rsidRPr="00803C70">
        <w:t>, gli alti costi di gestione e royalties fisse molto elevate.</w:t>
      </w:r>
    </w:p>
    <w:p w14:paraId="48CD9A4D" w14:textId="77777777" w:rsidR="00E173A9" w:rsidRPr="00803C70" w:rsidRDefault="00E173A9" w:rsidP="00E173A9">
      <w:pPr>
        <w:ind w:left="720"/>
      </w:pPr>
    </w:p>
    <w:p w14:paraId="12A56553" w14:textId="77777777" w:rsidR="009454B4" w:rsidRPr="00803C70" w:rsidRDefault="00E173A9" w:rsidP="00DB2C48">
      <w:pPr>
        <w:numPr>
          <w:ilvl w:val="0"/>
          <w:numId w:val="1"/>
        </w:numPr>
        <w:jc w:val="both"/>
      </w:pPr>
      <w:r w:rsidRPr="00803C70">
        <w:t xml:space="preserve">Una situazione che è divenuta sempre più preoccupante </w:t>
      </w:r>
      <w:r w:rsidR="00B61351" w:rsidRPr="00803C70">
        <w:t xml:space="preserve">in vista </w:t>
      </w:r>
      <w:r w:rsidR="009454B4" w:rsidRPr="00803C70">
        <w:t>del rinnovo di molti affidamenti, in scadenza a fine anno</w:t>
      </w:r>
      <w:r w:rsidR="00D30181">
        <w:t xml:space="preserve"> (230 aree)</w:t>
      </w:r>
      <w:r w:rsidR="009454B4" w:rsidRPr="00803C70">
        <w:t>,</w:t>
      </w:r>
      <w:r w:rsidR="00B61351" w:rsidRPr="00803C70">
        <w:t xml:space="preserve"> reso sempre più difficile </w:t>
      </w:r>
      <w:r w:rsidR="009454B4" w:rsidRPr="00803C70">
        <w:t>dai ritardi che si sono accumulati nella definizione di un vero piano di razionalizzazione che era l’obiettivo della proroga concessa dall’Antitrust nel 2014.</w:t>
      </w:r>
    </w:p>
    <w:p w14:paraId="6E2CEEED" w14:textId="77777777" w:rsidR="009454B4" w:rsidRPr="00803C70" w:rsidRDefault="009454B4" w:rsidP="009454B4">
      <w:pPr>
        <w:ind w:left="720"/>
      </w:pPr>
    </w:p>
    <w:p w14:paraId="4CD6E8C4" w14:textId="147939A8" w:rsidR="0074036F" w:rsidRPr="00803C70" w:rsidRDefault="009454B4" w:rsidP="00DB2C48">
      <w:pPr>
        <w:numPr>
          <w:ilvl w:val="0"/>
          <w:numId w:val="1"/>
        </w:numPr>
        <w:jc w:val="both"/>
      </w:pPr>
      <w:r w:rsidRPr="00803C70">
        <w:t>Questo avrebbe dovuto</w:t>
      </w:r>
      <w:r w:rsidR="00FF17CA">
        <w:t xml:space="preserve"> essere l’obiettivo dell’Atto</w:t>
      </w:r>
      <w:r w:rsidR="00E173A9" w:rsidRPr="00803C70">
        <w:t xml:space="preserve"> d’indirizzo del MIT </w:t>
      </w:r>
      <w:r w:rsidR="005C13AD" w:rsidRPr="00803C70">
        <w:t xml:space="preserve">che nei fatti è </w:t>
      </w:r>
      <w:r w:rsidRPr="00803C70">
        <w:t xml:space="preserve">poi </w:t>
      </w:r>
      <w:r w:rsidR="00D30181">
        <w:t xml:space="preserve">risultato debole e parziale e per questo </w:t>
      </w:r>
      <w:r w:rsidR="00A622A5">
        <w:t>può</w:t>
      </w:r>
      <w:r w:rsidR="00D30181">
        <w:t xml:space="preserve"> </w:t>
      </w:r>
      <w:r w:rsidR="00A622A5">
        <w:t>essere considerata</w:t>
      </w:r>
      <w:r w:rsidR="00D30181">
        <w:t xml:space="preserve"> un’occasione mancata.</w:t>
      </w:r>
    </w:p>
    <w:p w14:paraId="6BAC8BFB" w14:textId="77777777" w:rsidR="00B61351" w:rsidRPr="00803C70" w:rsidRDefault="00B61351" w:rsidP="00B61351">
      <w:pPr>
        <w:pStyle w:val="Paragrafoelenco"/>
      </w:pPr>
    </w:p>
    <w:p w14:paraId="558301C9" w14:textId="2D3983E6" w:rsidR="005C13AD" w:rsidRPr="00803C70" w:rsidRDefault="00B61351" w:rsidP="00DB2C48">
      <w:pPr>
        <w:numPr>
          <w:ilvl w:val="0"/>
          <w:numId w:val="1"/>
        </w:numPr>
        <w:jc w:val="both"/>
      </w:pPr>
      <w:r w:rsidRPr="00803C70">
        <w:t xml:space="preserve">Data la situazione, non </w:t>
      </w:r>
      <w:r w:rsidR="00012EA2">
        <w:t xml:space="preserve">si </w:t>
      </w:r>
      <w:r w:rsidRPr="00803C70">
        <w:t>è nelle condizioni di poter</w:t>
      </w:r>
      <w:r w:rsidR="00E173A9" w:rsidRPr="00803C70">
        <w:rPr>
          <w:rFonts w:cs="Arial"/>
        </w:rPr>
        <w:t xml:space="preserve"> </w:t>
      </w:r>
      <w:r w:rsidR="005C13AD" w:rsidRPr="00803C70">
        <w:rPr>
          <w:rFonts w:cs="Arial"/>
        </w:rPr>
        <w:t>partecipare alle gare in modo razionale</w:t>
      </w:r>
      <w:r w:rsidR="004A31B4" w:rsidRPr="00803C70">
        <w:rPr>
          <w:rFonts w:cs="Arial"/>
        </w:rPr>
        <w:t xml:space="preserve"> e consapevole</w:t>
      </w:r>
      <w:r w:rsidR="008424B8">
        <w:rPr>
          <w:rFonts w:cs="Arial"/>
        </w:rPr>
        <w:t>.</w:t>
      </w:r>
    </w:p>
    <w:p w14:paraId="1DE8618D" w14:textId="77777777" w:rsidR="005C13AD" w:rsidRPr="00803C70" w:rsidRDefault="005C13AD" w:rsidP="005C13AD">
      <w:pPr>
        <w:pStyle w:val="Paragrafoelenco"/>
        <w:rPr>
          <w:rFonts w:cs="Arial"/>
        </w:rPr>
      </w:pPr>
    </w:p>
    <w:p w14:paraId="76F3166A" w14:textId="77777777" w:rsidR="005C13AD" w:rsidRPr="00803C70" w:rsidRDefault="005C13AD" w:rsidP="009960A2">
      <w:pPr>
        <w:numPr>
          <w:ilvl w:val="0"/>
          <w:numId w:val="1"/>
        </w:numPr>
        <w:jc w:val="both"/>
      </w:pPr>
      <w:r w:rsidRPr="00803C70">
        <w:rPr>
          <w:rFonts w:cs="Arial"/>
        </w:rPr>
        <w:t>Ciò può pregiudicare</w:t>
      </w:r>
      <w:r w:rsidR="00E173A9" w:rsidRPr="00803C70">
        <w:rPr>
          <w:rFonts w:cs="Arial"/>
        </w:rPr>
        <w:t xml:space="preserve"> la continuità del servizio di distribuzione carburanti autostradale, per l’assenza al 1° gennaio 2016 di nuovi affidatari, vista la definitiva conclusione </w:t>
      </w:r>
      <w:r w:rsidR="004A31B4" w:rsidRPr="00803C70">
        <w:rPr>
          <w:rFonts w:cs="Arial"/>
        </w:rPr>
        <w:t xml:space="preserve">a fine anno </w:t>
      </w:r>
      <w:r w:rsidR="00E173A9" w:rsidRPr="00803C70">
        <w:rPr>
          <w:rFonts w:cs="Arial"/>
        </w:rPr>
        <w:t>degli affidamenti in corso.</w:t>
      </w:r>
    </w:p>
    <w:p w14:paraId="66AFE98D" w14:textId="77777777" w:rsidR="005C13AD" w:rsidRPr="00803C70" w:rsidRDefault="005C13AD" w:rsidP="005C13AD">
      <w:pPr>
        <w:pStyle w:val="Paragrafoelenco"/>
        <w:rPr>
          <w:rFonts w:cs="Arial"/>
        </w:rPr>
      </w:pPr>
    </w:p>
    <w:p w14:paraId="059FA89B" w14:textId="77777777" w:rsidR="00E173A9" w:rsidRPr="00803C70" w:rsidRDefault="00E173A9" w:rsidP="009960A2">
      <w:pPr>
        <w:numPr>
          <w:ilvl w:val="0"/>
          <w:numId w:val="1"/>
        </w:numPr>
        <w:jc w:val="both"/>
      </w:pPr>
      <w:r w:rsidRPr="00803C70">
        <w:rPr>
          <w:rFonts w:cs="Arial"/>
        </w:rPr>
        <w:t>Gli eventuali disservizi o oneri, che ne dovessero derivare, in nessun caso potranno essere attribuiti o gravare su</w:t>
      </w:r>
      <w:r w:rsidR="00FF17CA">
        <w:rPr>
          <w:rFonts w:cs="Arial"/>
        </w:rPr>
        <w:t xml:space="preserve">gli attuali operatori che da tempo chiedono di trovare una soluzione a un problema che non era certo sconosciuto. </w:t>
      </w:r>
    </w:p>
    <w:p w14:paraId="591408BD" w14:textId="77777777" w:rsidR="00DB25AE" w:rsidRPr="00803C70" w:rsidRDefault="00DB25AE" w:rsidP="009960A2">
      <w:pPr>
        <w:ind w:left="720"/>
        <w:jc w:val="both"/>
      </w:pPr>
    </w:p>
    <w:p w14:paraId="70A030F8" w14:textId="77777777" w:rsidR="00D50079" w:rsidRPr="00803C70" w:rsidRDefault="00DB25AE" w:rsidP="009960A2">
      <w:pPr>
        <w:numPr>
          <w:ilvl w:val="0"/>
          <w:numId w:val="1"/>
        </w:numPr>
        <w:jc w:val="both"/>
      </w:pPr>
      <w:r w:rsidRPr="00803C70">
        <w:rPr>
          <w:rFonts w:cs="Arial"/>
        </w:rPr>
        <w:t xml:space="preserve">Passando </w:t>
      </w:r>
      <w:r w:rsidR="00D50079" w:rsidRPr="00803C70">
        <w:rPr>
          <w:rFonts w:cs="Arial"/>
        </w:rPr>
        <w:t xml:space="preserve">invece </w:t>
      </w:r>
      <w:r w:rsidRPr="00803C70">
        <w:rPr>
          <w:rFonts w:cs="Arial"/>
        </w:rPr>
        <w:t xml:space="preserve">alla rete carburanti ordinaria, </w:t>
      </w:r>
      <w:r w:rsidR="00D50079" w:rsidRPr="00803C70">
        <w:rPr>
          <w:rFonts w:cs="Arial"/>
        </w:rPr>
        <w:t xml:space="preserve">va </w:t>
      </w:r>
      <w:r w:rsidR="00FF17CA">
        <w:rPr>
          <w:rFonts w:cs="Arial"/>
        </w:rPr>
        <w:t>detto che in questi ultimi anni</w:t>
      </w:r>
      <w:r w:rsidR="00D50079" w:rsidRPr="00803C70">
        <w:rPr>
          <w:rFonts w:cs="Arial"/>
        </w:rPr>
        <w:t xml:space="preserve"> l’eliminazione di molti vincoli all’entrata</w:t>
      </w:r>
      <w:r w:rsidR="00FF17CA">
        <w:rPr>
          <w:rFonts w:cs="Arial"/>
        </w:rPr>
        <w:t xml:space="preserve"> ha reso il</w:t>
      </w:r>
      <w:r w:rsidR="00D50079" w:rsidRPr="00803C70">
        <w:rPr>
          <w:rFonts w:cs="Arial"/>
        </w:rPr>
        <w:t xml:space="preserve"> mercato </w:t>
      </w:r>
      <w:r w:rsidR="00865309">
        <w:rPr>
          <w:rFonts w:cs="Arial"/>
        </w:rPr>
        <w:t>sempre più</w:t>
      </w:r>
      <w:r w:rsidR="00D50079" w:rsidRPr="00803C70">
        <w:rPr>
          <w:rFonts w:cs="Arial"/>
        </w:rPr>
        <w:t xml:space="preserve"> aperto e concorrenziale. </w:t>
      </w:r>
    </w:p>
    <w:p w14:paraId="4C839307" w14:textId="77777777" w:rsidR="00CE7324" w:rsidRPr="00803C70" w:rsidRDefault="00CE7324" w:rsidP="009960A2">
      <w:pPr>
        <w:ind w:left="720"/>
        <w:jc w:val="both"/>
      </w:pPr>
    </w:p>
    <w:p w14:paraId="6EAC53F9" w14:textId="34769CFF" w:rsidR="00CE7324" w:rsidRPr="00803C70" w:rsidRDefault="00CE7324" w:rsidP="009960A2">
      <w:pPr>
        <w:numPr>
          <w:ilvl w:val="0"/>
          <w:numId w:val="1"/>
        </w:numPr>
        <w:jc w:val="both"/>
      </w:pPr>
      <w:r w:rsidRPr="00803C70">
        <w:t xml:space="preserve">Nonostante le chiusure, effettuate soprattutto dalle compagnie petrolifere che complessivamente dal 2007 hanno dismesso circa 1.500 impianti, in parte rimpiazzati </w:t>
      </w:r>
      <w:r w:rsidR="00FF17CA">
        <w:t>da</w:t>
      </w:r>
      <w:r w:rsidRPr="00803C70">
        <w:t xml:space="preserve"> nuove aperture di </w:t>
      </w:r>
      <w:r w:rsidR="009953A3">
        <w:t xml:space="preserve">altri </w:t>
      </w:r>
      <w:r w:rsidRPr="00803C70">
        <w:t xml:space="preserve">operatori </w:t>
      </w:r>
      <w:r w:rsidR="00B07E31">
        <w:t>minori</w:t>
      </w:r>
      <w:r w:rsidRPr="00803C70">
        <w:t xml:space="preserve">, il numero totale rimane troppo alto, gli erogati </w:t>
      </w:r>
      <w:r w:rsidR="00FF17CA">
        <w:t xml:space="preserve">troppo </w:t>
      </w:r>
      <w:r w:rsidRPr="00803C70">
        <w:t xml:space="preserve">bassi e dunque i costi di gestione in molti casi </w:t>
      </w:r>
      <w:r w:rsidR="006B06DA">
        <w:t>sono</w:t>
      </w:r>
      <w:r w:rsidR="006B06DA" w:rsidRPr="00803C70">
        <w:t xml:space="preserve"> </w:t>
      </w:r>
      <w:r w:rsidRPr="00803C70">
        <w:t>insostenibili.</w:t>
      </w:r>
    </w:p>
    <w:p w14:paraId="641E6EE4" w14:textId="77777777" w:rsidR="00CE7324" w:rsidRPr="00803C70" w:rsidRDefault="00CE7324" w:rsidP="009960A2">
      <w:pPr>
        <w:ind w:left="720"/>
        <w:jc w:val="both"/>
      </w:pPr>
    </w:p>
    <w:p w14:paraId="7E910F58" w14:textId="77777777" w:rsidR="005C0610" w:rsidRPr="00803C70" w:rsidRDefault="00CE7324" w:rsidP="009960A2">
      <w:pPr>
        <w:numPr>
          <w:ilvl w:val="0"/>
          <w:numId w:val="1"/>
        </w:numPr>
        <w:jc w:val="both"/>
      </w:pPr>
      <w:r w:rsidRPr="00803C70">
        <w:t xml:space="preserve">Questa difficoltà della rete a ristrutturarsi </w:t>
      </w:r>
      <w:r w:rsidR="000548A4" w:rsidRPr="00803C70">
        <w:t>può risiedere in barriere all’uscita</w:t>
      </w:r>
      <w:r w:rsidR="005C0610" w:rsidRPr="00803C70">
        <w:t>? I</w:t>
      </w:r>
      <w:r w:rsidR="000548A4" w:rsidRPr="00803C70">
        <w:t>n logiche “non economiche”?</w:t>
      </w:r>
      <w:r w:rsidR="005C0610" w:rsidRPr="00803C70">
        <w:t xml:space="preserve">  </w:t>
      </w:r>
    </w:p>
    <w:p w14:paraId="1E06A01A" w14:textId="77777777" w:rsidR="005C0610" w:rsidRPr="00803C70" w:rsidRDefault="005C0610" w:rsidP="005C0610">
      <w:pPr>
        <w:ind w:left="720"/>
      </w:pPr>
    </w:p>
    <w:p w14:paraId="7F38C61B" w14:textId="33E365AE" w:rsidR="005C0610" w:rsidRPr="00803C70" w:rsidRDefault="005C0610" w:rsidP="008248E2">
      <w:pPr>
        <w:numPr>
          <w:ilvl w:val="0"/>
          <w:numId w:val="1"/>
        </w:numPr>
        <w:jc w:val="both"/>
      </w:pPr>
      <w:r w:rsidRPr="00803C70">
        <w:t xml:space="preserve">Certo, barriere all’uscita ci sono e sono perlopiù legate ai costi e alle procedure per la bonifica dei siti dismessi, ma il recente decreto del Ministero dell’Ambiente ha reso più semplici tali procedure e credo che qualche risultato </w:t>
      </w:r>
      <w:r w:rsidR="00A622A5">
        <w:t xml:space="preserve">in più </w:t>
      </w:r>
      <w:r w:rsidRPr="00803C70">
        <w:t>si avrà.</w:t>
      </w:r>
    </w:p>
    <w:p w14:paraId="4014F0A5" w14:textId="77777777" w:rsidR="005C0610" w:rsidRPr="00803C70" w:rsidRDefault="005C0610" w:rsidP="005C0610">
      <w:pPr>
        <w:ind w:left="720"/>
      </w:pPr>
    </w:p>
    <w:p w14:paraId="7E60C713" w14:textId="77777777" w:rsidR="006B06DA" w:rsidRPr="00803C70" w:rsidRDefault="006B06DA" w:rsidP="009E56A7">
      <w:pPr>
        <w:numPr>
          <w:ilvl w:val="0"/>
          <w:numId w:val="1"/>
        </w:numPr>
        <w:jc w:val="both"/>
      </w:pPr>
      <w:r w:rsidRPr="00803C70">
        <w:lastRenderedPageBreak/>
        <w:t>Nei mesi scorsi l’Unione Petrolifera ha presentato</w:t>
      </w:r>
      <w:r w:rsidR="00D30181" w:rsidRPr="00D30181">
        <w:t xml:space="preserve"> </w:t>
      </w:r>
      <w:r w:rsidR="00D30181" w:rsidRPr="00803C70">
        <w:t>al Ministero dello Sviluppo Economico</w:t>
      </w:r>
      <w:r w:rsidRPr="00803C70">
        <w:t xml:space="preserve">, insieme agli altri operatori della filiera, compresi i gestori, una proposta di settore unitaria </w:t>
      </w:r>
      <w:r>
        <w:t xml:space="preserve">che si pone </w:t>
      </w:r>
      <w:r w:rsidR="00D30181">
        <w:t>l’obiettivo</w:t>
      </w:r>
      <w:r>
        <w:t xml:space="preserve"> di</w:t>
      </w:r>
      <w:r w:rsidRPr="00803C70">
        <w:t xml:space="preserve"> avviare un percorso virtuoso di razionalizz</w:t>
      </w:r>
      <w:r>
        <w:t>azione e ridare sostenibilità a</w:t>
      </w:r>
      <w:r w:rsidRPr="00803C70">
        <w:t xml:space="preserve"> un </w:t>
      </w:r>
      <w:r>
        <w:t>servizio</w:t>
      </w:r>
      <w:r w:rsidRPr="00803C70">
        <w:t xml:space="preserve"> essenziale per i cittadini.</w:t>
      </w:r>
    </w:p>
    <w:p w14:paraId="61C21BA3" w14:textId="77777777" w:rsidR="006B06DA" w:rsidRPr="00803C70" w:rsidRDefault="006B06DA" w:rsidP="009E56A7">
      <w:pPr>
        <w:ind w:left="720"/>
        <w:jc w:val="both"/>
      </w:pPr>
    </w:p>
    <w:p w14:paraId="6EAB203E" w14:textId="70575FF8" w:rsidR="00D30181" w:rsidRDefault="006B06DA" w:rsidP="009E56A7">
      <w:pPr>
        <w:numPr>
          <w:ilvl w:val="0"/>
          <w:numId w:val="1"/>
        </w:numPr>
        <w:jc w:val="both"/>
        <w:rPr>
          <w:rFonts w:cs="Arial"/>
        </w:rPr>
      </w:pPr>
      <w:r w:rsidRPr="00803C70">
        <w:rPr>
          <w:rFonts w:cs="Arial"/>
        </w:rPr>
        <w:t xml:space="preserve">Una proposta giunta al termine di un lungo confronto tra le diverse parti </w:t>
      </w:r>
      <w:r>
        <w:rPr>
          <w:rFonts w:cs="Arial"/>
        </w:rPr>
        <w:t>interessate, ognuna delle quali, respons</w:t>
      </w:r>
      <w:r w:rsidRPr="00D30181">
        <w:rPr>
          <w:rFonts w:cs="Arial"/>
        </w:rPr>
        <w:t>abilmente, ha ceduto qualcosa. Auspichiamo che questa proposta poss</w:t>
      </w:r>
      <w:r w:rsidR="00CF3750">
        <w:rPr>
          <w:rFonts w:cs="Arial"/>
        </w:rPr>
        <w:t>a essere recepita nel DDL C</w:t>
      </w:r>
      <w:r w:rsidRPr="00D30181">
        <w:rPr>
          <w:rFonts w:cs="Arial"/>
        </w:rPr>
        <w:t>oncorrenza all’esame del Parlamento, come abbiamo chiesto alle Commissioni parlamentari competenti in una rece</w:t>
      </w:r>
      <w:r w:rsidR="00D30181">
        <w:rPr>
          <w:rFonts w:cs="Arial"/>
        </w:rPr>
        <w:t>nte audizione.</w:t>
      </w:r>
    </w:p>
    <w:p w14:paraId="3600D72C" w14:textId="77777777" w:rsidR="00D30181" w:rsidRDefault="00D30181" w:rsidP="009E56A7">
      <w:pPr>
        <w:pStyle w:val="Paragrafoelenco"/>
        <w:jc w:val="both"/>
        <w:rPr>
          <w:rFonts w:cs="Arial"/>
        </w:rPr>
      </w:pPr>
    </w:p>
    <w:p w14:paraId="594B7525" w14:textId="4E504F96" w:rsidR="00EB17E0" w:rsidRDefault="00822B7F" w:rsidP="009E56A7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Per quanto ci riguarda</w:t>
      </w:r>
      <w:r w:rsidR="00A622A5">
        <w:rPr>
          <w:rFonts w:cs="Arial"/>
        </w:rPr>
        <w:t>,</w:t>
      </w:r>
      <w:r>
        <w:rPr>
          <w:rFonts w:cs="Arial"/>
        </w:rPr>
        <w:t xml:space="preserve"> l’</w:t>
      </w:r>
      <w:r w:rsidR="00EB17E0" w:rsidRPr="00EB17E0">
        <w:rPr>
          <w:rFonts w:cs="Arial"/>
        </w:rPr>
        <w:t>avremmo volut</w:t>
      </w:r>
      <w:r>
        <w:rPr>
          <w:rFonts w:cs="Arial"/>
        </w:rPr>
        <w:t>a</w:t>
      </w:r>
      <w:r w:rsidR="00EB17E0" w:rsidRPr="00EB17E0">
        <w:rPr>
          <w:rFonts w:cs="Arial"/>
        </w:rPr>
        <w:t xml:space="preserve"> molto più</w:t>
      </w:r>
      <w:r w:rsidR="00EB17E0">
        <w:rPr>
          <w:rFonts w:cs="Arial"/>
        </w:rPr>
        <w:t xml:space="preserve"> incisiva</w:t>
      </w:r>
      <w:r>
        <w:rPr>
          <w:rFonts w:cs="Arial"/>
        </w:rPr>
        <w:t>,</w:t>
      </w:r>
      <w:r w:rsidR="00EB17E0" w:rsidRPr="00EB17E0">
        <w:rPr>
          <w:rFonts w:cs="Arial"/>
        </w:rPr>
        <w:t xml:space="preserve"> ma </w:t>
      </w:r>
      <w:r>
        <w:rPr>
          <w:rFonts w:cs="Arial"/>
        </w:rPr>
        <w:t>la</w:t>
      </w:r>
      <w:r w:rsidR="00EB17E0">
        <w:rPr>
          <w:rFonts w:cs="Arial"/>
        </w:rPr>
        <w:t xml:space="preserve"> </w:t>
      </w:r>
      <w:r w:rsidR="00EB17E0" w:rsidRPr="00EB17E0">
        <w:rPr>
          <w:rFonts w:cs="Arial"/>
        </w:rPr>
        <w:t xml:space="preserve">consideriamo come l’avvio di un processo che ci dovrebbe portare ad una rete più </w:t>
      </w:r>
      <w:r w:rsidR="00A622A5">
        <w:rPr>
          <w:rFonts w:cs="Arial"/>
        </w:rPr>
        <w:t>sostenibile e moderna.</w:t>
      </w:r>
    </w:p>
    <w:p w14:paraId="3ED9F531" w14:textId="77777777" w:rsidR="00012EA2" w:rsidRPr="00012EA2" w:rsidRDefault="00012EA2" w:rsidP="009E56A7">
      <w:pPr>
        <w:pStyle w:val="Paragrafoelenco"/>
        <w:spacing w:after="160" w:line="259" w:lineRule="auto"/>
        <w:jc w:val="both"/>
        <w:rPr>
          <w:rFonts w:cs="Arial"/>
        </w:rPr>
      </w:pPr>
    </w:p>
    <w:p w14:paraId="4AA03018" w14:textId="36CF5540" w:rsidR="00822B7F" w:rsidRDefault="00EB17E0" w:rsidP="009E56A7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cs="Arial"/>
        </w:rPr>
      </w:pPr>
      <w:r w:rsidRPr="00EB17E0">
        <w:rPr>
          <w:rFonts w:cs="Arial"/>
        </w:rPr>
        <w:t xml:space="preserve">Per una rete di tipo europeo </w:t>
      </w:r>
      <w:r>
        <w:rPr>
          <w:rFonts w:cs="Arial"/>
        </w:rPr>
        <w:t xml:space="preserve">oltre che nei prezzi, come è ormai oggi, anche </w:t>
      </w:r>
      <w:r w:rsidRPr="00EB17E0">
        <w:rPr>
          <w:rFonts w:cs="Arial"/>
        </w:rPr>
        <w:t xml:space="preserve">nella struttura </w:t>
      </w:r>
      <w:r w:rsidR="00822B7F">
        <w:rPr>
          <w:rFonts w:cs="Arial"/>
        </w:rPr>
        <w:t>e</w:t>
      </w:r>
      <w:r w:rsidRPr="00EB17E0">
        <w:rPr>
          <w:rFonts w:cs="Arial"/>
        </w:rPr>
        <w:t xml:space="preserve"> nelle modalità gestionali/operative</w:t>
      </w:r>
      <w:r w:rsidR="00822B7F">
        <w:rPr>
          <w:rFonts w:cs="Arial"/>
        </w:rPr>
        <w:t>,</w:t>
      </w:r>
      <w:r w:rsidRPr="00EB17E0">
        <w:rPr>
          <w:rFonts w:cs="Arial"/>
        </w:rPr>
        <w:t xml:space="preserve"> rimangono ancora aspetti da approfondire e sviluppare, per esempio nei rapporti contrattuali con i gestori</w:t>
      </w:r>
      <w:r>
        <w:rPr>
          <w:rFonts w:cs="Arial"/>
        </w:rPr>
        <w:t>,</w:t>
      </w:r>
      <w:r w:rsidRPr="00EB17E0">
        <w:rPr>
          <w:rFonts w:cs="Arial"/>
        </w:rPr>
        <w:t xml:space="preserve"> ma siamo fiduciosi e </w:t>
      </w:r>
      <w:r w:rsidR="008424B8">
        <w:rPr>
          <w:rFonts w:cs="Arial"/>
        </w:rPr>
        <w:t xml:space="preserve">crediamo </w:t>
      </w:r>
      <w:r w:rsidR="00A622A5">
        <w:rPr>
          <w:rFonts w:cs="Arial"/>
        </w:rPr>
        <w:t xml:space="preserve">che </w:t>
      </w:r>
      <w:r w:rsidRPr="00EB17E0">
        <w:rPr>
          <w:rFonts w:cs="Arial"/>
        </w:rPr>
        <w:t xml:space="preserve">questa proposta </w:t>
      </w:r>
      <w:r w:rsidR="00A622A5">
        <w:rPr>
          <w:rFonts w:cs="Arial"/>
        </w:rPr>
        <w:t xml:space="preserve">unitaria </w:t>
      </w:r>
      <w:r>
        <w:rPr>
          <w:rFonts w:cs="Arial"/>
        </w:rPr>
        <w:t>sia di</w:t>
      </w:r>
      <w:r w:rsidRPr="00EB17E0">
        <w:rPr>
          <w:rFonts w:cs="Arial"/>
        </w:rPr>
        <w:t xml:space="preserve"> buon auspicio per i necessari passi in avanti anche su questo terreno.</w:t>
      </w:r>
    </w:p>
    <w:p w14:paraId="7E61D3A5" w14:textId="77777777" w:rsidR="00822B7F" w:rsidRDefault="00822B7F" w:rsidP="00822B7F">
      <w:pPr>
        <w:pStyle w:val="Paragrafoelenco"/>
        <w:spacing w:after="160" w:line="259" w:lineRule="auto"/>
        <w:jc w:val="both"/>
        <w:rPr>
          <w:rFonts w:cs="Arial"/>
        </w:rPr>
      </w:pPr>
    </w:p>
    <w:p w14:paraId="0A01535C" w14:textId="367F914E" w:rsidR="00822B7F" w:rsidRPr="00822B7F" w:rsidRDefault="00EB17E0" w:rsidP="00E61278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cs="Arial"/>
        </w:rPr>
      </w:pPr>
      <w:r w:rsidRPr="00822B7F">
        <w:rPr>
          <w:rFonts w:cs="Arial"/>
          <w:bCs/>
        </w:rPr>
        <w:t xml:space="preserve">Anche se </w:t>
      </w:r>
      <w:r w:rsidR="00A622A5">
        <w:rPr>
          <w:rFonts w:cs="Arial"/>
          <w:bCs/>
        </w:rPr>
        <w:t>essa</w:t>
      </w:r>
      <w:r w:rsidRPr="00822B7F">
        <w:rPr>
          <w:rFonts w:cs="Arial"/>
          <w:bCs/>
        </w:rPr>
        <w:t xml:space="preserve"> </w:t>
      </w:r>
      <w:r w:rsidR="00822B7F">
        <w:rPr>
          <w:rFonts w:cs="Arial"/>
          <w:bCs/>
        </w:rPr>
        <w:t>potrà avere</w:t>
      </w:r>
      <w:r w:rsidRPr="00822B7F">
        <w:rPr>
          <w:rFonts w:cs="Arial"/>
          <w:bCs/>
        </w:rPr>
        <w:t xml:space="preserve"> un impatto </w:t>
      </w:r>
      <w:r w:rsidR="00822B7F" w:rsidRPr="00822B7F">
        <w:rPr>
          <w:rFonts w:cs="Arial"/>
          <w:bCs/>
        </w:rPr>
        <w:t xml:space="preserve">limitato </w:t>
      </w:r>
      <w:r w:rsidRPr="00822B7F">
        <w:rPr>
          <w:rFonts w:cs="Arial"/>
          <w:bCs/>
        </w:rPr>
        <w:t xml:space="preserve">sull’efficienza complessiva </w:t>
      </w:r>
      <w:r w:rsidR="00822B7F">
        <w:rPr>
          <w:rFonts w:cs="Arial"/>
          <w:bCs/>
        </w:rPr>
        <w:t>del</w:t>
      </w:r>
      <w:r w:rsidRPr="00822B7F">
        <w:rPr>
          <w:rFonts w:cs="Arial"/>
          <w:bCs/>
        </w:rPr>
        <w:t xml:space="preserve"> </w:t>
      </w:r>
      <w:r w:rsidR="00822B7F">
        <w:rPr>
          <w:rFonts w:cs="Arial"/>
          <w:bCs/>
        </w:rPr>
        <w:t>sistema</w:t>
      </w:r>
      <w:r w:rsidRPr="00822B7F">
        <w:rPr>
          <w:rFonts w:cs="Arial"/>
          <w:bCs/>
        </w:rPr>
        <w:t xml:space="preserve">, ha </w:t>
      </w:r>
      <w:r w:rsidR="00822B7F" w:rsidRPr="00822B7F">
        <w:rPr>
          <w:rFonts w:cs="Arial"/>
          <w:bCs/>
        </w:rPr>
        <w:t xml:space="preserve">però </w:t>
      </w:r>
      <w:r w:rsidRPr="00822B7F">
        <w:rPr>
          <w:rFonts w:cs="Arial"/>
          <w:bCs/>
        </w:rPr>
        <w:t>un significativ</w:t>
      </w:r>
      <w:r w:rsidR="00822B7F" w:rsidRPr="00822B7F">
        <w:rPr>
          <w:rFonts w:cs="Arial"/>
          <w:bCs/>
        </w:rPr>
        <w:t>o valore aggiunto in termini di</w:t>
      </w:r>
      <w:r w:rsidRPr="00822B7F">
        <w:rPr>
          <w:rFonts w:cs="Arial"/>
          <w:bCs/>
        </w:rPr>
        <w:t xml:space="preserve"> adeguamento alle norme </w:t>
      </w:r>
      <w:r w:rsidR="00822B7F">
        <w:rPr>
          <w:rFonts w:cs="Arial"/>
          <w:bCs/>
        </w:rPr>
        <w:t>di</w:t>
      </w:r>
      <w:r w:rsidRPr="00822B7F">
        <w:rPr>
          <w:rFonts w:cs="Arial"/>
          <w:bCs/>
        </w:rPr>
        <w:t xml:space="preserve"> </w:t>
      </w:r>
      <w:r w:rsidR="00012EA2">
        <w:rPr>
          <w:rFonts w:cs="Arial"/>
          <w:bCs/>
        </w:rPr>
        <w:t>sicurezza</w:t>
      </w:r>
      <w:r w:rsidRPr="00822B7F">
        <w:rPr>
          <w:rFonts w:cs="Arial"/>
          <w:bCs/>
        </w:rPr>
        <w:t xml:space="preserve"> stradale</w:t>
      </w:r>
      <w:r w:rsidR="00822B7F" w:rsidRPr="00822B7F">
        <w:rPr>
          <w:rFonts w:cs="Arial"/>
          <w:bCs/>
        </w:rPr>
        <w:t>,</w:t>
      </w:r>
      <w:r w:rsidRPr="00822B7F">
        <w:rPr>
          <w:rFonts w:cs="Arial"/>
          <w:bCs/>
        </w:rPr>
        <w:t xml:space="preserve"> decoro urbano nei centri ad alta intensità di </w:t>
      </w:r>
      <w:r w:rsidR="00822B7F" w:rsidRPr="00822B7F">
        <w:rPr>
          <w:rFonts w:cs="Arial"/>
          <w:bCs/>
        </w:rPr>
        <w:t>punti vendita</w:t>
      </w:r>
      <w:r w:rsidRPr="00822B7F">
        <w:rPr>
          <w:rFonts w:cs="Arial"/>
          <w:bCs/>
        </w:rPr>
        <w:t>, restituzione delle aree per nuove iniziative commerciali, impatto su fenomeni di illegalità diffusa</w:t>
      </w:r>
      <w:r w:rsidR="00822B7F">
        <w:rPr>
          <w:rFonts w:cs="Arial"/>
          <w:bCs/>
        </w:rPr>
        <w:t xml:space="preserve"> e di sicurezza.</w:t>
      </w:r>
      <w:r w:rsidRPr="00822B7F">
        <w:rPr>
          <w:rFonts w:cs="Arial"/>
          <w:bCs/>
        </w:rPr>
        <w:t xml:space="preserve">  </w:t>
      </w:r>
    </w:p>
    <w:p w14:paraId="26A3E7EA" w14:textId="3412439D" w:rsidR="00822B7F" w:rsidRDefault="00012EA2" w:rsidP="001541C7">
      <w:pPr>
        <w:numPr>
          <w:ilvl w:val="0"/>
          <w:numId w:val="1"/>
        </w:numPr>
        <w:jc w:val="both"/>
        <w:rPr>
          <w:rFonts w:cs="Arial"/>
        </w:rPr>
      </w:pPr>
      <w:r w:rsidRPr="002F2551">
        <w:rPr>
          <w:rFonts w:cs="Arial"/>
        </w:rPr>
        <w:t>Gli i</w:t>
      </w:r>
      <w:r w:rsidR="00822B7F" w:rsidRPr="002F2551">
        <w:rPr>
          <w:rFonts w:cs="Arial"/>
        </w:rPr>
        <w:t xml:space="preserve">mpianti e </w:t>
      </w:r>
      <w:r w:rsidRPr="002F2551">
        <w:rPr>
          <w:rFonts w:cs="Arial"/>
        </w:rPr>
        <w:t>le</w:t>
      </w:r>
      <w:r w:rsidR="00822B7F" w:rsidRPr="002F2551">
        <w:rPr>
          <w:rFonts w:cs="Arial"/>
        </w:rPr>
        <w:t xml:space="preserve"> infrastrutture di trasporto sono</w:t>
      </w:r>
      <w:r w:rsidR="00A622A5" w:rsidRPr="002F2551">
        <w:rPr>
          <w:rFonts w:cs="Arial"/>
        </w:rPr>
        <w:t>,</w:t>
      </w:r>
      <w:r w:rsidR="00822B7F" w:rsidRPr="002F2551">
        <w:rPr>
          <w:rFonts w:cs="Arial"/>
        </w:rPr>
        <w:t xml:space="preserve"> infatti</w:t>
      </w:r>
      <w:r w:rsidR="00A622A5" w:rsidRPr="002F2551">
        <w:rPr>
          <w:rFonts w:cs="Arial"/>
        </w:rPr>
        <w:t>,</w:t>
      </w:r>
      <w:r w:rsidR="00822B7F" w:rsidRPr="002F2551">
        <w:rPr>
          <w:rFonts w:cs="Arial"/>
        </w:rPr>
        <w:t xml:space="preserve"> sempre più spesso al centro degli attacchi della criminalità che vedono negli accettatori di banconote e oleodotti una facile fonte di guadagno</w:t>
      </w:r>
      <w:r w:rsidR="002F2551">
        <w:rPr>
          <w:rFonts w:cs="Arial"/>
        </w:rPr>
        <w:t>.</w:t>
      </w:r>
    </w:p>
    <w:p w14:paraId="51A4A31C" w14:textId="77777777" w:rsidR="002F2551" w:rsidRPr="002F2551" w:rsidRDefault="002F2551" w:rsidP="002F2551">
      <w:pPr>
        <w:ind w:left="720"/>
        <w:jc w:val="both"/>
        <w:rPr>
          <w:rFonts w:cs="Arial"/>
        </w:rPr>
      </w:pPr>
    </w:p>
    <w:p w14:paraId="7904CE0D" w14:textId="5BFA4D86" w:rsidR="00822B7F" w:rsidRPr="00803C70" w:rsidRDefault="00822B7F" w:rsidP="00E61278">
      <w:pPr>
        <w:numPr>
          <w:ilvl w:val="0"/>
          <w:numId w:val="1"/>
        </w:numPr>
        <w:jc w:val="both"/>
        <w:rPr>
          <w:rFonts w:cs="Arial"/>
        </w:rPr>
      </w:pPr>
      <w:r w:rsidRPr="00803C70">
        <w:rPr>
          <w:rFonts w:cs="Arial"/>
        </w:rPr>
        <w:t>I punti vendita</w:t>
      </w:r>
      <w:r w:rsidR="005A5735">
        <w:rPr>
          <w:rFonts w:cs="Arial"/>
        </w:rPr>
        <w:t xml:space="preserve"> carburanti</w:t>
      </w:r>
      <w:r w:rsidRPr="00803C70">
        <w:rPr>
          <w:rFonts w:cs="Arial"/>
        </w:rPr>
        <w:t xml:space="preserve"> ormai sono gli esercizi commerciali più colpiti da questo tipo di </w:t>
      </w:r>
      <w:r w:rsidR="000A7028">
        <w:rPr>
          <w:rFonts w:cs="Arial"/>
        </w:rPr>
        <w:t>fenomeno</w:t>
      </w:r>
      <w:r w:rsidRPr="00803C70">
        <w:rPr>
          <w:rFonts w:cs="Arial"/>
        </w:rPr>
        <w:t xml:space="preserve">, più </w:t>
      </w:r>
      <w:r>
        <w:rPr>
          <w:rFonts w:cs="Arial"/>
        </w:rPr>
        <w:t xml:space="preserve">di </w:t>
      </w:r>
      <w:r w:rsidRPr="00803C70">
        <w:rPr>
          <w:rFonts w:cs="Arial"/>
        </w:rPr>
        <w:t>farmacie, banche o uffici postali</w:t>
      </w:r>
      <w:r>
        <w:rPr>
          <w:rFonts w:cs="Arial"/>
        </w:rPr>
        <w:t>.</w:t>
      </w:r>
      <w:r w:rsidRPr="00803C70">
        <w:rPr>
          <w:rFonts w:cs="Arial"/>
        </w:rPr>
        <w:t xml:space="preserve"> </w:t>
      </w:r>
    </w:p>
    <w:p w14:paraId="4861C4F4" w14:textId="77777777" w:rsidR="00822B7F" w:rsidRPr="00803C70" w:rsidRDefault="00822B7F" w:rsidP="00E61278">
      <w:pPr>
        <w:ind w:left="720"/>
        <w:jc w:val="both"/>
        <w:rPr>
          <w:rFonts w:cs="Arial"/>
        </w:rPr>
      </w:pPr>
    </w:p>
    <w:p w14:paraId="69CDA4C5" w14:textId="77777777" w:rsidR="00822B7F" w:rsidRDefault="00822B7F" w:rsidP="00E61278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Attacchi</w:t>
      </w:r>
      <w:r w:rsidRPr="00803C70">
        <w:rPr>
          <w:rFonts w:cs="Arial"/>
        </w:rPr>
        <w:t xml:space="preserve"> che, nonostante l’impegno delle Forze dell’Ordine, </w:t>
      </w:r>
      <w:r>
        <w:rPr>
          <w:rFonts w:cs="Arial"/>
        </w:rPr>
        <w:t>rimangono difficili da contrastare.</w:t>
      </w:r>
    </w:p>
    <w:p w14:paraId="11371B7F" w14:textId="77777777" w:rsidR="00822B7F" w:rsidRDefault="00822B7F" w:rsidP="00E61278">
      <w:pPr>
        <w:pStyle w:val="Paragrafoelenco"/>
        <w:jc w:val="both"/>
        <w:rPr>
          <w:rFonts w:cs="Arial"/>
        </w:rPr>
      </w:pPr>
    </w:p>
    <w:p w14:paraId="036CBD0A" w14:textId="3AA12620" w:rsidR="00822B7F" w:rsidRDefault="00822B7F" w:rsidP="00135FA4">
      <w:pPr>
        <w:numPr>
          <w:ilvl w:val="0"/>
          <w:numId w:val="1"/>
        </w:numPr>
        <w:jc w:val="both"/>
        <w:rPr>
          <w:rFonts w:cs="Arial"/>
        </w:rPr>
      </w:pPr>
      <w:r w:rsidRPr="005D12B6">
        <w:rPr>
          <w:rFonts w:cs="Arial"/>
        </w:rPr>
        <w:t>L’Unione Petrolifera ritiene che siano necessarie azioni combinate con le Autorità competenti ed è pronta a collaborare</w:t>
      </w:r>
      <w:r w:rsidR="000A7028" w:rsidRPr="005D12B6">
        <w:rPr>
          <w:rFonts w:cs="Arial"/>
        </w:rPr>
        <w:t>,</w:t>
      </w:r>
      <w:r w:rsidRPr="005D12B6">
        <w:rPr>
          <w:rFonts w:cs="Arial"/>
        </w:rPr>
        <w:t xml:space="preserve"> come ha già fatto con la redazione del rapporto Ossif </w:t>
      </w:r>
      <w:r w:rsidR="00A622A5" w:rsidRPr="005D12B6">
        <w:rPr>
          <w:rFonts w:cs="Arial"/>
        </w:rPr>
        <w:t>2014 (ABI-Ministero dell’I</w:t>
      </w:r>
      <w:r w:rsidRPr="005D12B6">
        <w:rPr>
          <w:rFonts w:cs="Arial"/>
        </w:rPr>
        <w:t xml:space="preserve">nterno) che per la prima volta ha dato evidenza a un fenomeno molto preoccupante. </w:t>
      </w:r>
    </w:p>
    <w:p w14:paraId="414B794A" w14:textId="77777777" w:rsidR="008E1AA1" w:rsidRPr="005D12B6" w:rsidRDefault="008E1AA1" w:rsidP="008E1AA1">
      <w:pPr>
        <w:jc w:val="both"/>
        <w:rPr>
          <w:rFonts w:cs="Arial"/>
        </w:rPr>
      </w:pPr>
    </w:p>
    <w:p w14:paraId="7D9CD91C" w14:textId="0FBB94E0" w:rsidR="00CE7324" w:rsidRDefault="00822B7F" w:rsidP="004A5C96">
      <w:pPr>
        <w:numPr>
          <w:ilvl w:val="0"/>
          <w:numId w:val="1"/>
        </w:numPr>
        <w:jc w:val="both"/>
      </w:pPr>
      <w:r>
        <w:t>Quanto ai crescenti f</w:t>
      </w:r>
      <w:r w:rsidR="00FF17CA">
        <w:t>enomeni d’</w:t>
      </w:r>
      <w:r w:rsidR="00322D81" w:rsidRPr="00803C70">
        <w:t xml:space="preserve">illegalità e contrabbando </w:t>
      </w:r>
      <w:r w:rsidR="002B1DEB" w:rsidRPr="00803C70">
        <w:t>nella commercializzazione di prodotti petroliferi</w:t>
      </w:r>
      <w:r>
        <w:t>,</w:t>
      </w:r>
      <w:r w:rsidR="002B1DEB" w:rsidRPr="00803C70">
        <w:t xml:space="preserve"> di cui si legge sempre più spesso nelle cronache, </w:t>
      </w:r>
      <w:r>
        <w:t xml:space="preserve">essi </w:t>
      </w:r>
      <w:r w:rsidRPr="00803C70">
        <w:t>trova</w:t>
      </w:r>
      <w:r>
        <w:t>no</w:t>
      </w:r>
      <w:r w:rsidRPr="00803C70">
        <w:t xml:space="preserve"> una motivazione anche nell’elevato carico fiscale </w:t>
      </w:r>
      <w:r w:rsidR="00A622A5">
        <w:t xml:space="preserve">che grava </w:t>
      </w:r>
      <w:r>
        <w:t>su</w:t>
      </w:r>
      <w:r w:rsidRPr="00803C70">
        <w:t xml:space="preserve">i carburanti italiani, </w:t>
      </w:r>
      <w:r>
        <w:t>colpendo</w:t>
      </w:r>
      <w:r w:rsidR="00322D81" w:rsidRPr="00803C70">
        <w:t xml:space="preserve"> la par</w:t>
      </w:r>
      <w:r w:rsidR="002B1DEB" w:rsidRPr="00803C70">
        <w:t xml:space="preserve">te sana della distribuzione </w:t>
      </w:r>
      <w:r w:rsidR="00E712DB">
        <w:t xml:space="preserve">e </w:t>
      </w:r>
      <w:r w:rsidR="002B1DEB" w:rsidRPr="00803C70">
        <w:t>minandone la sostenibilità economica.</w:t>
      </w:r>
    </w:p>
    <w:p w14:paraId="4E617F62" w14:textId="77777777" w:rsidR="00E24907" w:rsidRPr="00803C70" w:rsidRDefault="00E24907" w:rsidP="00A622A5">
      <w:pPr>
        <w:jc w:val="both"/>
      </w:pPr>
    </w:p>
    <w:p w14:paraId="0D609FC8" w14:textId="1C012079" w:rsidR="00822B7F" w:rsidRDefault="00822B7F" w:rsidP="004A5C96">
      <w:pPr>
        <w:numPr>
          <w:ilvl w:val="0"/>
          <w:numId w:val="1"/>
        </w:numPr>
        <w:jc w:val="both"/>
      </w:pPr>
      <w:r w:rsidRPr="00803C70">
        <w:t xml:space="preserve">La lotta all’evasione e al contrabbando è dunque una priorità che ha già trovato </w:t>
      </w:r>
      <w:r>
        <w:t xml:space="preserve">le prime </w:t>
      </w:r>
      <w:r w:rsidRPr="00803C70">
        <w:t>rispost</w:t>
      </w:r>
      <w:r>
        <w:t>e</w:t>
      </w:r>
      <w:r w:rsidRPr="00803C70">
        <w:t xml:space="preserve"> dalle Istituzioni</w:t>
      </w:r>
      <w:r>
        <w:t>, sollecitate anche da UP</w:t>
      </w:r>
      <w:r w:rsidRPr="00803C70">
        <w:t>, come è stato fatto</w:t>
      </w:r>
      <w:r>
        <w:t xml:space="preserve"> per la </w:t>
      </w:r>
      <w:r>
        <w:lastRenderedPageBreak/>
        <w:t xml:space="preserve">regolamentazione degli </w:t>
      </w:r>
      <w:r w:rsidRPr="00803C70">
        <w:t xml:space="preserve">acquisti di prodotti </w:t>
      </w:r>
      <w:r w:rsidR="000A7028">
        <w:t>in sospensione</w:t>
      </w:r>
      <w:r w:rsidRPr="00803C70">
        <w:t xml:space="preserve"> Iva, </w:t>
      </w:r>
      <w:r>
        <w:t>la</w:t>
      </w:r>
      <w:r w:rsidRPr="00803C70">
        <w:t xml:space="preserve"> definizione di indicatori di rischio per le prevenzioni delle frodi sulla rete carburanti o anche </w:t>
      </w:r>
      <w:r>
        <w:t xml:space="preserve">la </w:t>
      </w:r>
      <w:r w:rsidRPr="00803C70">
        <w:t>revisione della disciplina delle importazioni da paesi extra-Ue a forte instabilità politica.</w:t>
      </w:r>
    </w:p>
    <w:p w14:paraId="4EDE7294" w14:textId="77777777" w:rsidR="00822B7F" w:rsidRPr="00803C70" w:rsidRDefault="00822B7F" w:rsidP="00822B7F"/>
    <w:p w14:paraId="46DE7713" w14:textId="77777777" w:rsidR="006B06DA" w:rsidRDefault="006B06DA" w:rsidP="00B73F8A">
      <w:pPr>
        <w:numPr>
          <w:ilvl w:val="0"/>
          <w:numId w:val="1"/>
        </w:numPr>
        <w:jc w:val="both"/>
      </w:pPr>
      <w:r w:rsidRPr="00803C70">
        <w:t xml:space="preserve">Un passo ulteriore potrebbe essere una revisione </w:t>
      </w:r>
      <w:r>
        <w:t xml:space="preserve">complessiva </w:t>
      </w:r>
      <w:r w:rsidRPr="00803C70">
        <w:t>delle condizioni di rilascio delle autorizzazioni ai depositi fiscali per evitare distorsioni della concorrenza e garantire al contempo il gettito</w:t>
      </w:r>
      <w:r>
        <w:t xml:space="preserve"> all’Erario</w:t>
      </w:r>
      <w:r w:rsidRPr="00803C70">
        <w:t>.</w:t>
      </w:r>
    </w:p>
    <w:p w14:paraId="5F8AEF8A" w14:textId="77777777" w:rsidR="00711F69" w:rsidRPr="00803C70" w:rsidRDefault="00711F69" w:rsidP="00B73F8A">
      <w:pPr>
        <w:jc w:val="both"/>
      </w:pPr>
    </w:p>
    <w:p w14:paraId="70146097" w14:textId="66A12A7F" w:rsidR="00822B7F" w:rsidRPr="008424B8" w:rsidRDefault="00E712DB" w:rsidP="00B73F8A">
      <w:pPr>
        <w:numPr>
          <w:ilvl w:val="0"/>
          <w:numId w:val="1"/>
        </w:numPr>
        <w:jc w:val="both"/>
      </w:pPr>
      <w:r w:rsidRPr="008424B8">
        <w:t>Il problema dell’elevato carico fiscale sui carburanti, oggi intorno al 60% del prezzo finale, si riproporrà con forza nei prossimi anni considerato che</w:t>
      </w:r>
      <w:r w:rsidR="00822B7F" w:rsidRPr="008424B8">
        <w:t xml:space="preserve"> tra Iva, clausole di salvaguardia e</w:t>
      </w:r>
      <w:r w:rsidRPr="008424B8">
        <w:t xml:space="preserve"> coperture varie, sono già programmati aumenti </w:t>
      </w:r>
      <w:r w:rsidR="00822B7F" w:rsidRPr="008424B8">
        <w:t xml:space="preserve">fino al 2021 per un totale di 3 miliardi di euro, </w:t>
      </w:r>
      <w:r w:rsidRPr="008424B8">
        <w:t xml:space="preserve">pari a </w:t>
      </w:r>
      <w:r w:rsidR="00822B7F" w:rsidRPr="008424B8">
        <w:t xml:space="preserve">circa </w:t>
      </w:r>
      <w:r w:rsidR="003B309B">
        <w:t>12-</w:t>
      </w:r>
      <w:r w:rsidR="0012771F" w:rsidRPr="008424B8">
        <w:t>14</w:t>
      </w:r>
      <w:r w:rsidR="00822B7F" w:rsidRPr="008424B8">
        <w:t xml:space="preserve"> centesimi al litro.</w:t>
      </w:r>
    </w:p>
    <w:p w14:paraId="58CA6A6E" w14:textId="77777777" w:rsidR="00822B7F" w:rsidRPr="00756EF9" w:rsidRDefault="00822B7F" w:rsidP="00B73F8A">
      <w:pPr>
        <w:jc w:val="both"/>
        <w:rPr>
          <w:i/>
          <w:color w:val="FF0000"/>
        </w:rPr>
      </w:pPr>
    </w:p>
    <w:p w14:paraId="6861D540" w14:textId="53384809" w:rsidR="00E712DB" w:rsidRPr="00803C70" w:rsidRDefault="00E712DB" w:rsidP="00B73F8A">
      <w:pPr>
        <w:numPr>
          <w:ilvl w:val="0"/>
          <w:numId w:val="1"/>
        </w:numPr>
        <w:jc w:val="both"/>
      </w:pPr>
      <w:r>
        <w:t xml:space="preserve">Speriamo che come è stato fatto per gli aumenti che sarebbero dovuti scattare a </w:t>
      </w:r>
      <w:r w:rsidR="00065516">
        <w:br/>
      </w:r>
      <w:r>
        <w:t xml:space="preserve">inizio 2015 e a luglio, il Governo trovi altre soluzioni in grado di soddisfare le esigenze di bilancio senza gravare ulteriormente </w:t>
      </w:r>
      <w:r w:rsidR="00756EF9">
        <w:t>sui consumatori e sulle</w:t>
      </w:r>
      <w:r>
        <w:t xml:space="preserve"> imprese che si sono appena liberate della </w:t>
      </w:r>
      <w:r w:rsidR="001544DE">
        <w:t>tanto discussa</w:t>
      </w:r>
      <w:r w:rsidR="00756EF9">
        <w:t xml:space="preserve"> </w:t>
      </w:r>
      <w:r>
        <w:t>Robin Hood Tax</w:t>
      </w:r>
      <w:r w:rsidR="008424B8">
        <w:t>,</w:t>
      </w:r>
      <w:r>
        <w:t xml:space="preserve"> bocciata dalla Consulta </w:t>
      </w:r>
      <w:r w:rsidR="003B309B">
        <w:t>che però non ne ha riconosciuto</w:t>
      </w:r>
      <w:r>
        <w:t xml:space="preserve"> la retroattività.</w:t>
      </w:r>
    </w:p>
    <w:p w14:paraId="0C3EE98C" w14:textId="77777777" w:rsidR="007355E7" w:rsidRPr="00803C70" w:rsidRDefault="007355E7" w:rsidP="007355E7">
      <w:pPr>
        <w:rPr>
          <w:rFonts w:cs="Arial"/>
        </w:rPr>
      </w:pPr>
    </w:p>
    <w:p w14:paraId="6492458C" w14:textId="77777777" w:rsidR="0076449F" w:rsidRPr="00803C70" w:rsidRDefault="0076449F" w:rsidP="0076449F">
      <w:pPr>
        <w:rPr>
          <w:rFonts w:cs="Arial"/>
        </w:rPr>
      </w:pPr>
    </w:p>
    <w:p w14:paraId="5A82F3B5" w14:textId="77777777" w:rsidR="002B1DEB" w:rsidRDefault="0076449F" w:rsidP="00707123">
      <w:pPr>
        <w:jc w:val="center"/>
        <w:rPr>
          <w:rFonts w:cs="Arial"/>
          <w:b/>
          <w:u w:val="single"/>
        </w:rPr>
      </w:pPr>
      <w:r w:rsidRPr="00803C70">
        <w:rPr>
          <w:rFonts w:cs="Arial"/>
          <w:b/>
          <w:u w:val="single"/>
        </w:rPr>
        <w:t>Conclusioni</w:t>
      </w:r>
    </w:p>
    <w:p w14:paraId="6CCC5D83" w14:textId="77777777" w:rsidR="00707123" w:rsidRPr="00707123" w:rsidRDefault="00707123" w:rsidP="00707123">
      <w:pPr>
        <w:jc w:val="center"/>
        <w:rPr>
          <w:rFonts w:cs="Arial"/>
          <w:b/>
          <w:u w:val="single"/>
        </w:rPr>
      </w:pPr>
    </w:p>
    <w:p w14:paraId="772C66F8" w14:textId="4D30CDAE" w:rsidR="005A3699" w:rsidRPr="007355E7" w:rsidRDefault="007355E7" w:rsidP="001A5FFC">
      <w:pPr>
        <w:numPr>
          <w:ilvl w:val="0"/>
          <w:numId w:val="5"/>
        </w:numPr>
        <w:jc w:val="both"/>
      </w:pPr>
      <w:r>
        <w:rPr>
          <w:bCs/>
        </w:rPr>
        <w:t xml:space="preserve">Abbiamo visto come </w:t>
      </w:r>
      <w:r w:rsidR="001544DE" w:rsidRPr="007355E7">
        <w:rPr>
          <w:bCs/>
        </w:rPr>
        <w:t xml:space="preserve">negli ultimi due decenni </w:t>
      </w:r>
      <w:r>
        <w:rPr>
          <w:bCs/>
        </w:rPr>
        <w:t>la</w:t>
      </w:r>
      <w:r w:rsidR="005A3699" w:rsidRPr="007355E7">
        <w:rPr>
          <w:bCs/>
        </w:rPr>
        <w:t xml:space="preserve"> mobilità </w:t>
      </w:r>
      <w:r>
        <w:rPr>
          <w:bCs/>
        </w:rPr>
        <w:t>sia</w:t>
      </w:r>
      <w:r w:rsidR="005A3699" w:rsidRPr="007355E7">
        <w:rPr>
          <w:bCs/>
        </w:rPr>
        <w:t xml:space="preserve"> molto cambiata verso un sistema sempre più sostenibil</w:t>
      </w:r>
      <w:r>
        <w:rPr>
          <w:bCs/>
        </w:rPr>
        <w:t>e dal punto di vista ambientale.</w:t>
      </w:r>
    </w:p>
    <w:p w14:paraId="7D772603" w14:textId="77777777" w:rsidR="007355E7" w:rsidRPr="007355E7" w:rsidRDefault="007355E7" w:rsidP="001A5FFC">
      <w:pPr>
        <w:ind w:left="720"/>
        <w:jc w:val="both"/>
      </w:pPr>
    </w:p>
    <w:p w14:paraId="5EFA2CE9" w14:textId="644F6E84" w:rsidR="005A3699" w:rsidRPr="007355E7" w:rsidRDefault="005A3699" w:rsidP="001A5FFC">
      <w:pPr>
        <w:numPr>
          <w:ilvl w:val="0"/>
          <w:numId w:val="5"/>
        </w:numPr>
        <w:jc w:val="both"/>
      </w:pPr>
      <w:r w:rsidRPr="007355E7">
        <w:rPr>
          <w:bCs/>
        </w:rPr>
        <w:t>L’industria petrolifera ha sempre risposto tempestivamente ai nuovi standard ambientali che si sono sus</w:t>
      </w:r>
      <w:r w:rsidR="007355E7">
        <w:rPr>
          <w:bCs/>
        </w:rPr>
        <w:t>seguiti negli anni</w:t>
      </w:r>
      <w:r w:rsidR="001544DE">
        <w:rPr>
          <w:bCs/>
        </w:rPr>
        <w:t>,</w:t>
      </w:r>
      <w:r w:rsidR="007355E7">
        <w:rPr>
          <w:bCs/>
        </w:rPr>
        <w:t xml:space="preserve"> investendo e</w:t>
      </w:r>
      <w:r w:rsidRPr="007355E7">
        <w:rPr>
          <w:bCs/>
        </w:rPr>
        <w:t xml:space="preserve"> adeguandosi ai nuovi assetti con prodotti qualitativamente migliori e con processi sempre più rispettosi dell’ambiente</w:t>
      </w:r>
      <w:r w:rsidR="007355E7">
        <w:rPr>
          <w:bCs/>
        </w:rPr>
        <w:t>.</w:t>
      </w:r>
    </w:p>
    <w:p w14:paraId="3E99CF2B" w14:textId="77777777" w:rsidR="007355E7" w:rsidRPr="007355E7" w:rsidRDefault="007355E7" w:rsidP="001A5FFC">
      <w:pPr>
        <w:jc w:val="both"/>
      </w:pPr>
    </w:p>
    <w:p w14:paraId="2DAD8D5F" w14:textId="564FA3C8" w:rsidR="005A3699" w:rsidRPr="007355E7" w:rsidRDefault="005A3699" w:rsidP="001A5FFC">
      <w:pPr>
        <w:numPr>
          <w:ilvl w:val="0"/>
          <w:numId w:val="5"/>
        </w:numPr>
        <w:jc w:val="both"/>
      </w:pPr>
      <w:r w:rsidRPr="007355E7">
        <w:rPr>
          <w:bCs/>
        </w:rPr>
        <w:t>Un percorso che sarà più sfidante nei prossimi anni</w:t>
      </w:r>
      <w:r w:rsidR="00CD587E">
        <w:rPr>
          <w:bCs/>
        </w:rPr>
        <w:t>,</w:t>
      </w:r>
      <w:r w:rsidRPr="007355E7">
        <w:rPr>
          <w:bCs/>
        </w:rPr>
        <w:t xml:space="preserve"> tenuto conto che </w:t>
      </w:r>
      <w:r w:rsidR="007355E7" w:rsidRPr="007355E7">
        <w:rPr>
          <w:bCs/>
        </w:rPr>
        <w:t>almeno fino al 2030</w:t>
      </w:r>
      <w:r w:rsidR="007355E7">
        <w:rPr>
          <w:bCs/>
        </w:rPr>
        <w:t xml:space="preserve"> </w:t>
      </w:r>
      <w:r w:rsidRPr="007355E7">
        <w:rPr>
          <w:bCs/>
        </w:rPr>
        <w:t xml:space="preserve">tra il 70% e il 90% della domanda di mobilità </w:t>
      </w:r>
      <w:r w:rsidR="007355E7">
        <w:rPr>
          <w:bCs/>
        </w:rPr>
        <w:t xml:space="preserve">in Europa e in Italia </w:t>
      </w:r>
      <w:r w:rsidRPr="007355E7">
        <w:rPr>
          <w:bCs/>
        </w:rPr>
        <w:t>sarà ancora soddisfatta dai carburanti tradizionali</w:t>
      </w:r>
      <w:r w:rsidR="007355E7">
        <w:rPr>
          <w:bCs/>
        </w:rPr>
        <w:t>.</w:t>
      </w:r>
    </w:p>
    <w:p w14:paraId="76154CCD" w14:textId="77777777" w:rsidR="007355E7" w:rsidRPr="007355E7" w:rsidRDefault="007355E7" w:rsidP="001A5FFC">
      <w:pPr>
        <w:ind w:left="720"/>
        <w:jc w:val="both"/>
      </w:pPr>
    </w:p>
    <w:p w14:paraId="2A3045C4" w14:textId="28C88378" w:rsidR="005A3699" w:rsidRPr="007355E7" w:rsidRDefault="005A3699" w:rsidP="001A5FFC">
      <w:pPr>
        <w:numPr>
          <w:ilvl w:val="0"/>
          <w:numId w:val="5"/>
        </w:numPr>
        <w:jc w:val="both"/>
      </w:pPr>
      <w:r w:rsidRPr="007355E7">
        <w:rPr>
          <w:bCs/>
        </w:rPr>
        <w:t>Il sistema di raffinazione nazionale dovrà subire rilevanti modificazioni quantitative e qua</w:t>
      </w:r>
      <w:r w:rsidR="001544DE">
        <w:rPr>
          <w:bCs/>
        </w:rPr>
        <w:t xml:space="preserve">litative, </w:t>
      </w:r>
      <w:r w:rsidRPr="007355E7">
        <w:rPr>
          <w:bCs/>
        </w:rPr>
        <w:t xml:space="preserve">con ingenti investimenti per </w:t>
      </w:r>
      <w:r w:rsidR="007355E7">
        <w:rPr>
          <w:bCs/>
        </w:rPr>
        <w:t xml:space="preserve">adeguarsi e </w:t>
      </w:r>
      <w:r w:rsidRPr="007355E7">
        <w:rPr>
          <w:bCs/>
        </w:rPr>
        <w:t>soddisfare la domanda di mobilità futura</w:t>
      </w:r>
      <w:r w:rsidR="0012771F">
        <w:rPr>
          <w:bCs/>
        </w:rPr>
        <w:t>, il “rightsizing”</w:t>
      </w:r>
      <w:r w:rsidR="007355E7">
        <w:rPr>
          <w:bCs/>
        </w:rPr>
        <w:t>.</w:t>
      </w:r>
    </w:p>
    <w:p w14:paraId="18F13C42" w14:textId="77777777" w:rsidR="007355E7" w:rsidRPr="007355E7" w:rsidRDefault="007355E7" w:rsidP="001A5FFC">
      <w:pPr>
        <w:ind w:left="720"/>
        <w:jc w:val="both"/>
      </w:pPr>
    </w:p>
    <w:p w14:paraId="79A17176" w14:textId="6B6B11C4" w:rsidR="005A3699" w:rsidRPr="007355E7" w:rsidRDefault="005A3699" w:rsidP="001A5FFC">
      <w:pPr>
        <w:numPr>
          <w:ilvl w:val="0"/>
          <w:numId w:val="5"/>
        </w:numPr>
        <w:jc w:val="both"/>
      </w:pPr>
      <w:r w:rsidRPr="007355E7">
        <w:rPr>
          <w:bCs/>
        </w:rPr>
        <w:t>L’industria petrolifera intende continuare a dare il suo contributo</w:t>
      </w:r>
      <w:r w:rsidR="00F97F14">
        <w:rPr>
          <w:bCs/>
        </w:rPr>
        <w:t>,</w:t>
      </w:r>
      <w:r w:rsidRPr="007355E7">
        <w:rPr>
          <w:bCs/>
        </w:rPr>
        <w:t xml:space="preserve"> evita</w:t>
      </w:r>
      <w:r w:rsidR="00F97F14">
        <w:rPr>
          <w:bCs/>
        </w:rPr>
        <w:t>ndo</w:t>
      </w:r>
      <w:r w:rsidRPr="007355E7">
        <w:rPr>
          <w:bCs/>
        </w:rPr>
        <w:t xml:space="preserve"> </w:t>
      </w:r>
      <w:r w:rsidR="001544DE">
        <w:rPr>
          <w:bCs/>
        </w:rPr>
        <w:t>la finzione della</w:t>
      </w:r>
      <w:r w:rsidR="00F97F14">
        <w:rPr>
          <w:bCs/>
        </w:rPr>
        <w:t xml:space="preserve"> riduzione delle</w:t>
      </w:r>
      <w:r w:rsidRPr="007355E7">
        <w:rPr>
          <w:bCs/>
        </w:rPr>
        <w:t xml:space="preserve"> emissioni mediante la delocalizzazione degli impianti ad alta emissi</w:t>
      </w:r>
      <w:r w:rsidR="007355E7">
        <w:rPr>
          <w:bCs/>
        </w:rPr>
        <w:t>one di gas-serra nei paesi extra-Ue, perdendo il controllo ambientale delle proprie produzioni</w:t>
      </w:r>
      <w:r w:rsidR="007355E7" w:rsidRPr="007355E7">
        <w:rPr>
          <w:bCs/>
        </w:rPr>
        <w:t>.</w:t>
      </w:r>
    </w:p>
    <w:p w14:paraId="418AB2A1" w14:textId="77777777" w:rsidR="007355E7" w:rsidRPr="007355E7" w:rsidRDefault="007355E7" w:rsidP="007355E7">
      <w:pPr>
        <w:ind w:left="720"/>
      </w:pPr>
    </w:p>
    <w:p w14:paraId="00F3A096" w14:textId="77777777" w:rsidR="005A3699" w:rsidRPr="0055637F" w:rsidRDefault="005A3699" w:rsidP="00673A26">
      <w:pPr>
        <w:numPr>
          <w:ilvl w:val="0"/>
          <w:numId w:val="5"/>
        </w:numPr>
        <w:jc w:val="both"/>
      </w:pPr>
      <w:r w:rsidRPr="007355E7">
        <w:rPr>
          <w:bCs/>
        </w:rPr>
        <w:t xml:space="preserve">L’industria petrolifera deve essere messa nelle condizioni </w:t>
      </w:r>
      <w:r w:rsidR="007355E7">
        <w:rPr>
          <w:bCs/>
        </w:rPr>
        <w:t>di</w:t>
      </w:r>
      <w:r w:rsidRPr="007355E7">
        <w:rPr>
          <w:bCs/>
        </w:rPr>
        <w:t xml:space="preserve"> traguardare i nuovi obiettivi in un quadro normativo chiaro, con tempi certi, con procedure burocratiche e amministrative trasparenti e con regole armonizzate a livello europeo</w:t>
      </w:r>
      <w:r w:rsidR="007355E7">
        <w:rPr>
          <w:bCs/>
        </w:rPr>
        <w:t>.</w:t>
      </w:r>
    </w:p>
    <w:p w14:paraId="1D6442A8" w14:textId="77777777" w:rsidR="0055637F" w:rsidRPr="007355E7" w:rsidRDefault="0055637F" w:rsidP="00673A26">
      <w:pPr>
        <w:jc w:val="both"/>
      </w:pPr>
    </w:p>
    <w:p w14:paraId="2A5DE84C" w14:textId="77777777" w:rsidR="005A3699" w:rsidRPr="005A3699" w:rsidRDefault="005A3699" w:rsidP="00673A26">
      <w:pPr>
        <w:numPr>
          <w:ilvl w:val="0"/>
          <w:numId w:val="5"/>
        </w:numPr>
        <w:jc w:val="both"/>
      </w:pPr>
      <w:r w:rsidRPr="007355E7">
        <w:rPr>
          <w:bCs/>
        </w:rPr>
        <w:t>L</w:t>
      </w:r>
      <w:r>
        <w:rPr>
          <w:bCs/>
        </w:rPr>
        <w:t>a rete distributiva stradale, e</w:t>
      </w:r>
      <w:r w:rsidRPr="007355E7">
        <w:rPr>
          <w:bCs/>
        </w:rPr>
        <w:t xml:space="preserve"> ancor più quella autostradale, necessita anch’essa di una trasformazione struttural</w:t>
      </w:r>
      <w:r>
        <w:rPr>
          <w:bCs/>
        </w:rPr>
        <w:t>e per avvicinarsi agli standard</w:t>
      </w:r>
      <w:r w:rsidRPr="007355E7">
        <w:rPr>
          <w:bCs/>
        </w:rPr>
        <w:t xml:space="preserve"> europei in termini di efficienza e di servizio</w:t>
      </w:r>
      <w:r>
        <w:rPr>
          <w:bCs/>
        </w:rPr>
        <w:t>.</w:t>
      </w:r>
    </w:p>
    <w:p w14:paraId="6FA5729A" w14:textId="77777777" w:rsidR="005A3699" w:rsidRPr="007355E7" w:rsidRDefault="005A3699" w:rsidP="00673A26">
      <w:pPr>
        <w:ind w:left="720"/>
        <w:jc w:val="both"/>
      </w:pPr>
    </w:p>
    <w:p w14:paraId="392A6EFA" w14:textId="77777777" w:rsidR="005A3699" w:rsidRPr="005A3699" w:rsidRDefault="005A3699" w:rsidP="00673A26">
      <w:pPr>
        <w:numPr>
          <w:ilvl w:val="0"/>
          <w:numId w:val="5"/>
        </w:numPr>
        <w:jc w:val="both"/>
      </w:pPr>
      <w:r w:rsidRPr="007355E7">
        <w:rPr>
          <w:bCs/>
        </w:rPr>
        <w:t>E’ urgente una riforma del sistema portuale e della logistica per rimuovere le inefficienze e gli oneri impropri che si scaricano sull’industria petrolifera</w:t>
      </w:r>
      <w:r>
        <w:rPr>
          <w:bCs/>
        </w:rPr>
        <w:t>.</w:t>
      </w:r>
    </w:p>
    <w:p w14:paraId="2BF033C7" w14:textId="77777777" w:rsidR="005A3699" w:rsidRPr="007355E7" w:rsidRDefault="005A3699" w:rsidP="00673A26">
      <w:pPr>
        <w:ind w:left="720"/>
        <w:jc w:val="both"/>
      </w:pPr>
    </w:p>
    <w:p w14:paraId="38FF33A8" w14:textId="77777777" w:rsidR="005A3699" w:rsidRPr="005A3699" w:rsidRDefault="005A3699" w:rsidP="00673A26">
      <w:pPr>
        <w:numPr>
          <w:ilvl w:val="0"/>
          <w:numId w:val="5"/>
        </w:numPr>
        <w:jc w:val="both"/>
      </w:pPr>
      <w:r w:rsidRPr="007355E7">
        <w:rPr>
          <w:bCs/>
        </w:rPr>
        <w:t>Preoccupa molto anche la gestione della fiscalità energetica, diretta e indiretta, che rappresenta la prima causa della crisi dei consumi e opprime le imprese</w:t>
      </w:r>
      <w:r>
        <w:rPr>
          <w:bCs/>
        </w:rPr>
        <w:t>.</w:t>
      </w:r>
    </w:p>
    <w:p w14:paraId="316D901F" w14:textId="77777777" w:rsidR="005A3699" w:rsidRPr="007355E7" w:rsidRDefault="005A3699" w:rsidP="00673A26">
      <w:pPr>
        <w:ind w:left="720"/>
        <w:jc w:val="both"/>
      </w:pPr>
    </w:p>
    <w:p w14:paraId="533EB1CE" w14:textId="77777777" w:rsidR="005A3699" w:rsidRPr="00095637" w:rsidRDefault="005A3699" w:rsidP="00673A26">
      <w:pPr>
        <w:numPr>
          <w:ilvl w:val="0"/>
          <w:numId w:val="5"/>
        </w:numPr>
        <w:jc w:val="both"/>
      </w:pPr>
      <w:r w:rsidRPr="007355E7">
        <w:rPr>
          <w:bCs/>
        </w:rPr>
        <w:t xml:space="preserve">Spesso si ha la sensazione di un disinteresse, se non proprio di un’avversione, </w:t>
      </w:r>
      <w:r w:rsidR="00095637">
        <w:rPr>
          <w:bCs/>
        </w:rPr>
        <w:t>nei confronti de</w:t>
      </w:r>
      <w:r w:rsidRPr="007355E7">
        <w:rPr>
          <w:bCs/>
        </w:rPr>
        <w:t>l settore</w:t>
      </w:r>
      <w:r w:rsidR="00095637">
        <w:rPr>
          <w:bCs/>
        </w:rPr>
        <w:t xml:space="preserve">. </w:t>
      </w:r>
    </w:p>
    <w:p w14:paraId="2737FCAF" w14:textId="77777777" w:rsidR="00095637" w:rsidRPr="007355E7" w:rsidRDefault="00095637" w:rsidP="00673A26">
      <w:pPr>
        <w:ind w:left="720"/>
        <w:jc w:val="both"/>
      </w:pPr>
    </w:p>
    <w:p w14:paraId="29E59F0A" w14:textId="77777777" w:rsidR="005A3699" w:rsidRPr="007355E7" w:rsidRDefault="005A3699" w:rsidP="00673A26">
      <w:pPr>
        <w:numPr>
          <w:ilvl w:val="0"/>
          <w:numId w:val="5"/>
        </w:numPr>
        <w:jc w:val="both"/>
      </w:pPr>
      <w:r w:rsidRPr="007355E7">
        <w:rPr>
          <w:bCs/>
        </w:rPr>
        <w:t xml:space="preserve">È come se fosse dato per scontato che l’industria petrolifera debba assicurare il rifornimento al Paese sempre e comunque senza che nessuno, in sede politica e di opinione pubblica, si faccia carico dei problemi ripetutamente denunciati che potrebbero portare, se non risolti, nei prossimi anni, alla </w:t>
      </w:r>
      <w:r w:rsidR="00846184">
        <w:rPr>
          <w:bCs/>
        </w:rPr>
        <w:t>scomparsa</w:t>
      </w:r>
      <w:r w:rsidRPr="007355E7">
        <w:rPr>
          <w:bCs/>
        </w:rPr>
        <w:t xml:space="preserve"> del settore del downstream</w:t>
      </w:r>
      <w:r w:rsidR="00846184">
        <w:rPr>
          <w:bCs/>
        </w:rPr>
        <w:t xml:space="preserve"> nazionale</w:t>
      </w:r>
      <w:r w:rsidR="00095637">
        <w:rPr>
          <w:bCs/>
        </w:rPr>
        <w:t>.</w:t>
      </w:r>
    </w:p>
    <w:p w14:paraId="691317D3" w14:textId="77777777" w:rsidR="00803C70" w:rsidRDefault="00803C70" w:rsidP="00673A26">
      <w:pPr>
        <w:ind w:left="720"/>
        <w:jc w:val="both"/>
      </w:pPr>
    </w:p>
    <w:p w14:paraId="1C85E7A6" w14:textId="77777777" w:rsidR="00921438" w:rsidRDefault="00975E2F" w:rsidP="00673A26">
      <w:pPr>
        <w:numPr>
          <w:ilvl w:val="0"/>
          <w:numId w:val="1"/>
        </w:numPr>
        <w:jc w:val="both"/>
      </w:pPr>
      <w:r w:rsidRPr="00803C70">
        <w:t>L’ipotesi che il mercato possa essere soddisfatto anche senza un’industria di raffinazione nazionale deve essere valutata in termini di «impatto</w:t>
      </w:r>
      <w:r w:rsidR="00095637">
        <w:t xml:space="preserve"> ambientale esternalizzato», d’</w:t>
      </w:r>
      <w:r w:rsidRPr="00803C70">
        <w:t>impatto sociale e di perdita di un importante know-how</w:t>
      </w:r>
      <w:r w:rsidR="00932CB9">
        <w:t xml:space="preserve"> tecnologico e di competenze</w:t>
      </w:r>
      <w:r w:rsidR="00095637">
        <w:t>, esponendo altresì il Paese a seri rischi sul fronte della sicurezza degli approvvigionamenti.</w:t>
      </w:r>
    </w:p>
    <w:p w14:paraId="581497A8" w14:textId="77777777" w:rsidR="00932CB9" w:rsidRDefault="00932CB9" w:rsidP="00673A26">
      <w:pPr>
        <w:ind w:left="720"/>
        <w:jc w:val="both"/>
      </w:pPr>
    </w:p>
    <w:p w14:paraId="290AE565" w14:textId="77777777" w:rsidR="00932CB9" w:rsidRPr="00803C70" w:rsidRDefault="00782DE3" w:rsidP="00673A26">
      <w:pPr>
        <w:numPr>
          <w:ilvl w:val="0"/>
          <w:numId w:val="1"/>
        </w:numPr>
        <w:jc w:val="both"/>
      </w:pPr>
      <w:r>
        <w:t>Credo che non</w:t>
      </w:r>
      <w:r w:rsidR="00846184">
        <w:t xml:space="preserve"> possiamo </w:t>
      </w:r>
      <w:r>
        <w:t>permetterci di fare a meno</w:t>
      </w:r>
      <w:r w:rsidR="007F32C8">
        <w:t xml:space="preserve"> di un’</w:t>
      </w:r>
      <w:r w:rsidR="00846184">
        <w:t xml:space="preserve">industria così importante per l’economia nazionale, che ha </w:t>
      </w:r>
      <w:r w:rsidR="0085481D">
        <w:t>sempre adottato comportamenti</w:t>
      </w:r>
      <w:r w:rsidR="00932CB9">
        <w:t xml:space="preserve"> </w:t>
      </w:r>
      <w:r w:rsidR="0085481D">
        <w:t xml:space="preserve">responsabili in </w:t>
      </w:r>
      <w:r w:rsidR="004373BE">
        <w:t>materia</w:t>
      </w:r>
      <w:r w:rsidR="0085481D">
        <w:t xml:space="preserve"> </w:t>
      </w:r>
      <w:r w:rsidR="00846184">
        <w:t>ambientale</w:t>
      </w:r>
      <w:r w:rsidR="00932CB9">
        <w:t xml:space="preserve"> e che vuole essere ancora protagonista nel garantire la transizione verso processi e prodotti sempre più sostenibili. </w:t>
      </w:r>
    </w:p>
    <w:sectPr w:rsidR="00932CB9" w:rsidRPr="00803C70" w:rsidSect="00C32DE7">
      <w:footerReference w:type="default" r:id="rId8"/>
      <w:footerReference w:type="first" r:id="rId9"/>
      <w:pgSz w:w="11900" w:h="16840"/>
      <w:pgMar w:top="1417" w:right="1134" w:bottom="1134" w:left="1134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0A981" w14:textId="77777777" w:rsidR="00455504" w:rsidRDefault="00455504" w:rsidP="004D2BA7">
      <w:r>
        <w:separator/>
      </w:r>
    </w:p>
  </w:endnote>
  <w:endnote w:type="continuationSeparator" w:id="0">
    <w:p w14:paraId="52B67EAE" w14:textId="77777777" w:rsidR="00455504" w:rsidRDefault="00455504" w:rsidP="004D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098674"/>
      <w:docPartObj>
        <w:docPartGallery w:val="Page Numbers (Bottom of Page)"/>
        <w:docPartUnique/>
      </w:docPartObj>
    </w:sdtPr>
    <w:sdtEndPr/>
    <w:sdtContent>
      <w:p w14:paraId="05E13BCB" w14:textId="77777777" w:rsidR="001544DE" w:rsidRDefault="001544DE" w:rsidP="008A1551">
        <w:pPr>
          <w:pStyle w:val="Pidipagina"/>
          <w:jc w:val="center"/>
        </w:pPr>
      </w:p>
      <w:p w14:paraId="2CBF94AB" w14:textId="77777777" w:rsidR="001544DE" w:rsidRDefault="001544DE" w:rsidP="008A1551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3098B3F8" wp14:editId="6D3CF5BA">
              <wp:extent cx="420687" cy="388937"/>
              <wp:effectExtent l="0" t="0" r="0" b="0"/>
              <wp:docPr id="5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0687" cy="3889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4CB72742" w14:textId="1E0C52AE" w:rsidR="001544DE" w:rsidRDefault="001544D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7BD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AC04E" w14:textId="7808DD88" w:rsidR="00C32DE7" w:rsidRDefault="00C32DE7" w:rsidP="00C32DE7">
    <w:pPr>
      <w:pStyle w:val="Pidipagina"/>
      <w:jc w:val="center"/>
    </w:pPr>
    <w:r>
      <w:rPr>
        <w:noProof/>
      </w:rPr>
      <w:drawing>
        <wp:inline distT="0" distB="0" distL="0" distR="0" wp14:anchorId="0727A152" wp14:editId="16648475">
          <wp:extent cx="420687" cy="388937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87" cy="388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54449" w14:textId="77777777" w:rsidR="00455504" w:rsidRDefault="00455504" w:rsidP="004D2BA7">
      <w:r>
        <w:separator/>
      </w:r>
    </w:p>
  </w:footnote>
  <w:footnote w:type="continuationSeparator" w:id="0">
    <w:p w14:paraId="7C011479" w14:textId="77777777" w:rsidR="00455504" w:rsidRDefault="00455504" w:rsidP="004D2BA7">
      <w:r>
        <w:continuationSeparator/>
      </w:r>
    </w:p>
  </w:footnote>
  <w:footnote w:id="1">
    <w:p w14:paraId="56ABC918" w14:textId="77777777" w:rsidR="001544DE" w:rsidRPr="00F01AB8" w:rsidRDefault="001544DE" w:rsidP="00F56B0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F01AB8">
        <w:rPr>
          <w:b/>
          <w:sz w:val="18"/>
          <w:szCs w:val="18"/>
        </w:rPr>
        <w:t>New policies scenario</w:t>
      </w:r>
      <w:r w:rsidRPr="00F01AB8">
        <w:rPr>
          <w:sz w:val="18"/>
          <w:szCs w:val="18"/>
        </w:rPr>
        <w:t xml:space="preserve">: </w:t>
      </w:r>
      <w:r w:rsidRPr="00F01AB8">
        <w:rPr>
          <w:bCs/>
          <w:sz w:val="18"/>
          <w:szCs w:val="18"/>
        </w:rPr>
        <w:t>scenario che considera gli effetti delle politiche adottate dopo la metà del 2014 e d</w:t>
      </w:r>
      <w:r>
        <w:rPr>
          <w:bCs/>
          <w:sz w:val="18"/>
          <w:szCs w:val="18"/>
        </w:rPr>
        <w:t>i proposte politiche rilevanti</w:t>
      </w:r>
      <w:r w:rsidRPr="00F01AB8">
        <w:rPr>
          <w:bCs/>
          <w:sz w:val="18"/>
          <w:szCs w:val="18"/>
        </w:rPr>
        <w:t xml:space="preserve"> (obiettivi e programmi di supporto alle FER, efficienza energetica, carburant</w:t>
      </w:r>
      <w:r>
        <w:rPr>
          <w:bCs/>
          <w:sz w:val="18"/>
          <w:szCs w:val="18"/>
        </w:rPr>
        <w:t xml:space="preserve">i e veicoli alternativi riforma </w:t>
      </w:r>
      <w:r w:rsidRPr="00F01AB8">
        <w:rPr>
          <w:bCs/>
          <w:sz w:val="18"/>
          <w:szCs w:val="18"/>
        </w:rPr>
        <w:t>dei sussidi energetici, ecc.)</w:t>
      </w:r>
      <w:r>
        <w:rPr>
          <w:bCs/>
          <w:sz w:val="18"/>
          <w:szCs w:val="18"/>
        </w:rPr>
        <w:t xml:space="preserve">; </w:t>
      </w:r>
      <w:r w:rsidRPr="00F01AB8">
        <w:rPr>
          <w:b/>
          <w:bCs/>
          <w:sz w:val="18"/>
          <w:szCs w:val="18"/>
        </w:rPr>
        <w:t>450 ppm scenario</w:t>
      </w:r>
      <w:r>
        <w:rPr>
          <w:bCs/>
          <w:sz w:val="18"/>
          <w:szCs w:val="18"/>
        </w:rPr>
        <w:t xml:space="preserve">: </w:t>
      </w:r>
      <w:r w:rsidRPr="00F01AB8">
        <w:rPr>
          <w:bCs/>
          <w:sz w:val="18"/>
          <w:szCs w:val="18"/>
        </w:rPr>
        <w:t xml:space="preserve">è lo scenario che </w:t>
      </w:r>
      <w:r>
        <w:rPr>
          <w:bCs/>
          <w:sz w:val="18"/>
          <w:szCs w:val="18"/>
        </w:rPr>
        <w:t>si basa su</w:t>
      </w:r>
      <w:r w:rsidRPr="00F01AB8">
        <w:rPr>
          <w:bCs/>
          <w:sz w:val="18"/>
          <w:szCs w:val="18"/>
        </w:rPr>
        <w:t xml:space="preserve"> cambiamenti energetici radicali per traguardare </w:t>
      </w:r>
      <w:r>
        <w:rPr>
          <w:bCs/>
          <w:sz w:val="18"/>
          <w:szCs w:val="18"/>
        </w:rPr>
        <w:t>l’obiettivo</w:t>
      </w:r>
      <w:r w:rsidRPr="00F01AB8">
        <w:rPr>
          <w:bCs/>
          <w:sz w:val="18"/>
          <w:szCs w:val="18"/>
        </w:rPr>
        <w:t xml:space="preserve"> di limitare l’aumento nel lungo temine della temperatura media globale </w:t>
      </w:r>
      <w:r>
        <w:rPr>
          <w:bCs/>
          <w:sz w:val="18"/>
          <w:szCs w:val="18"/>
        </w:rPr>
        <w:t>di</w:t>
      </w:r>
      <w:r w:rsidRPr="00F01AB8">
        <w:rPr>
          <w:bCs/>
          <w:sz w:val="18"/>
          <w:szCs w:val="18"/>
        </w:rPr>
        <w:t xml:space="preserve"> 2°C rispetto ai livelli preindus</w:t>
      </w:r>
      <w:r>
        <w:rPr>
          <w:bCs/>
          <w:sz w:val="18"/>
          <w:szCs w:val="18"/>
        </w:rPr>
        <w:t xml:space="preserve">triali.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D1095"/>
    <w:multiLevelType w:val="hybridMultilevel"/>
    <w:tmpl w:val="A37086E8"/>
    <w:lvl w:ilvl="0" w:tplc="E8C22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C41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B63F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4B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44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5C3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6CD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CF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F8E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47340D"/>
    <w:multiLevelType w:val="hybridMultilevel"/>
    <w:tmpl w:val="6644D292"/>
    <w:lvl w:ilvl="0" w:tplc="0A9C7D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A2B6A"/>
    <w:multiLevelType w:val="hybridMultilevel"/>
    <w:tmpl w:val="54FEE42E"/>
    <w:lvl w:ilvl="0" w:tplc="662E72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C3388">
      <w:start w:val="8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6EF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E8B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A4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65E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6C4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3C13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68FB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F02F0"/>
    <w:multiLevelType w:val="hybridMultilevel"/>
    <w:tmpl w:val="DDF6E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426E7"/>
    <w:multiLevelType w:val="hybridMultilevel"/>
    <w:tmpl w:val="4182686A"/>
    <w:lvl w:ilvl="0" w:tplc="BD96CD92">
      <w:start w:val="1"/>
      <w:numFmt w:val="bullet"/>
      <w:lvlText w:val="­"/>
      <w:lvlJc w:val="left"/>
      <w:pPr>
        <w:ind w:left="17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132792F"/>
    <w:multiLevelType w:val="hybridMultilevel"/>
    <w:tmpl w:val="8F3A13CC"/>
    <w:lvl w:ilvl="0" w:tplc="0A9C7D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140ED"/>
    <w:multiLevelType w:val="hybridMultilevel"/>
    <w:tmpl w:val="07C8E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C6AFE"/>
    <w:multiLevelType w:val="hybridMultilevel"/>
    <w:tmpl w:val="D76CF76C"/>
    <w:lvl w:ilvl="0" w:tplc="B4FCA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CB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BE7F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726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03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56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0D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0C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D6E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9610D8E"/>
    <w:multiLevelType w:val="hybridMultilevel"/>
    <w:tmpl w:val="3A22A326"/>
    <w:lvl w:ilvl="0" w:tplc="7DA23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4E9621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4A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C0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2F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00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26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62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E2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405CC0"/>
    <w:multiLevelType w:val="hybridMultilevel"/>
    <w:tmpl w:val="073E4AE4"/>
    <w:lvl w:ilvl="0" w:tplc="6EC29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649C">
      <w:start w:val="4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69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88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A3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06F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6B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E8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EF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1810A6"/>
    <w:multiLevelType w:val="hybridMultilevel"/>
    <w:tmpl w:val="E43ED34A"/>
    <w:lvl w:ilvl="0" w:tplc="65FA8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AD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6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CC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EC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4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8D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A2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28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8052BA5"/>
    <w:multiLevelType w:val="hybridMultilevel"/>
    <w:tmpl w:val="332ECE46"/>
    <w:lvl w:ilvl="0" w:tplc="F5847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27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63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E7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6D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60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69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8D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4E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AA04D8"/>
    <w:multiLevelType w:val="hybridMultilevel"/>
    <w:tmpl w:val="E9B689F4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7EC93186"/>
    <w:multiLevelType w:val="hybridMultilevel"/>
    <w:tmpl w:val="1E62ECD4"/>
    <w:lvl w:ilvl="0" w:tplc="08BA1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271CA">
      <w:start w:val="4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464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49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4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48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25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C0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6B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13"/>
  </w:num>
  <w:num w:numId="10">
    <w:abstractNumId w:val="9"/>
  </w:num>
  <w:num w:numId="11">
    <w:abstractNumId w:val="1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38"/>
    <w:rsid w:val="00012D46"/>
    <w:rsid w:val="00012EA2"/>
    <w:rsid w:val="00013C6F"/>
    <w:rsid w:val="00014BEB"/>
    <w:rsid w:val="00027E40"/>
    <w:rsid w:val="000548A4"/>
    <w:rsid w:val="00065516"/>
    <w:rsid w:val="00065A34"/>
    <w:rsid w:val="00067A7C"/>
    <w:rsid w:val="00070ECB"/>
    <w:rsid w:val="0007669A"/>
    <w:rsid w:val="0008626C"/>
    <w:rsid w:val="00090293"/>
    <w:rsid w:val="000908FF"/>
    <w:rsid w:val="00090D05"/>
    <w:rsid w:val="00095637"/>
    <w:rsid w:val="000A7028"/>
    <w:rsid w:val="000B1040"/>
    <w:rsid w:val="000B2DF0"/>
    <w:rsid w:val="000D5D26"/>
    <w:rsid w:val="000E7388"/>
    <w:rsid w:val="000F03C7"/>
    <w:rsid w:val="000F23DF"/>
    <w:rsid w:val="000F54D7"/>
    <w:rsid w:val="000F7987"/>
    <w:rsid w:val="001222F5"/>
    <w:rsid w:val="0012771F"/>
    <w:rsid w:val="001307CF"/>
    <w:rsid w:val="0014303B"/>
    <w:rsid w:val="0014738F"/>
    <w:rsid w:val="001544DE"/>
    <w:rsid w:val="00184E67"/>
    <w:rsid w:val="00184F4D"/>
    <w:rsid w:val="001A0566"/>
    <w:rsid w:val="001A5463"/>
    <w:rsid w:val="001A5FFC"/>
    <w:rsid w:val="001B29E9"/>
    <w:rsid w:val="001B69E2"/>
    <w:rsid w:val="001C40BD"/>
    <w:rsid w:val="001D4261"/>
    <w:rsid w:val="001F0270"/>
    <w:rsid w:val="001F1CB8"/>
    <w:rsid w:val="002131D5"/>
    <w:rsid w:val="00224553"/>
    <w:rsid w:val="002417BF"/>
    <w:rsid w:val="00250F3B"/>
    <w:rsid w:val="00252AD6"/>
    <w:rsid w:val="00255906"/>
    <w:rsid w:val="002702F8"/>
    <w:rsid w:val="002852B3"/>
    <w:rsid w:val="002B1DEB"/>
    <w:rsid w:val="002C5BD6"/>
    <w:rsid w:val="002C5C42"/>
    <w:rsid w:val="002D2902"/>
    <w:rsid w:val="002D34CA"/>
    <w:rsid w:val="002F2551"/>
    <w:rsid w:val="0030484D"/>
    <w:rsid w:val="00306056"/>
    <w:rsid w:val="003153B2"/>
    <w:rsid w:val="00315EEB"/>
    <w:rsid w:val="00322D81"/>
    <w:rsid w:val="00324F2D"/>
    <w:rsid w:val="00340383"/>
    <w:rsid w:val="003463B7"/>
    <w:rsid w:val="0036736E"/>
    <w:rsid w:val="00375018"/>
    <w:rsid w:val="0038012B"/>
    <w:rsid w:val="00393D41"/>
    <w:rsid w:val="003A4B22"/>
    <w:rsid w:val="003B309B"/>
    <w:rsid w:val="003B678F"/>
    <w:rsid w:val="003F1F19"/>
    <w:rsid w:val="003F2CE5"/>
    <w:rsid w:val="00404F8C"/>
    <w:rsid w:val="00414ABC"/>
    <w:rsid w:val="00434F86"/>
    <w:rsid w:val="004373BE"/>
    <w:rsid w:val="004409A9"/>
    <w:rsid w:val="00443564"/>
    <w:rsid w:val="0044386C"/>
    <w:rsid w:val="00453C3F"/>
    <w:rsid w:val="004547BD"/>
    <w:rsid w:val="00455504"/>
    <w:rsid w:val="00481BF1"/>
    <w:rsid w:val="004A31B4"/>
    <w:rsid w:val="004A5C96"/>
    <w:rsid w:val="004A7214"/>
    <w:rsid w:val="004B1195"/>
    <w:rsid w:val="004B2E20"/>
    <w:rsid w:val="004B3398"/>
    <w:rsid w:val="004B3A09"/>
    <w:rsid w:val="004D2483"/>
    <w:rsid w:val="004D2BA7"/>
    <w:rsid w:val="004E3E56"/>
    <w:rsid w:val="004E5681"/>
    <w:rsid w:val="004F09B7"/>
    <w:rsid w:val="004F165C"/>
    <w:rsid w:val="0050132F"/>
    <w:rsid w:val="00510025"/>
    <w:rsid w:val="0055637F"/>
    <w:rsid w:val="00557FB7"/>
    <w:rsid w:val="0057084F"/>
    <w:rsid w:val="00571048"/>
    <w:rsid w:val="00571954"/>
    <w:rsid w:val="005A18C1"/>
    <w:rsid w:val="005A3699"/>
    <w:rsid w:val="005A5735"/>
    <w:rsid w:val="005A6436"/>
    <w:rsid w:val="005B08C9"/>
    <w:rsid w:val="005C0610"/>
    <w:rsid w:val="005C13AD"/>
    <w:rsid w:val="005C32B8"/>
    <w:rsid w:val="005C4010"/>
    <w:rsid w:val="005C726A"/>
    <w:rsid w:val="005D12B6"/>
    <w:rsid w:val="005D5CE9"/>
    <w:rsid w:val="005E4765"/>
    <w:rsid w:val="005E6A0E"/>
    <w:rsid w:val="00601F3E"/>
    <w:rsid w:val="00610137"/>
    <w:rsid w:val="00621509"/>
    <w:rsid w:val="00624A40"/>
    <w:rsid w:val="006536FF"/>
    <w:rsid w:val="006666BB"/>
    <w:rsid w:val="00671672"/>
    <w:rsid w:val="00673A26"/>
    <w:rsid w:val="006B06DA"/>
    <w:rsid w:val="006B0BF7"/>
    <w:rsid w:val="006B2DD1"/>
    <w:rsid w:val="006C26A2"/>
    <w:rsid w:val="006C5982"/>
    <w:rsid w:val="006D0BAD"/>
    <w:rsid w:val="006D7870"/>
    <w:rsid w:val="006E470B"/>
    <w:rsid w:val="007002DA"/>
    <w:rsid w:val="0070639B"/>
    <w:rsid w:val="00707123"/>
    <w:rsid w:val="00711F69"/>
    <w:rsid w:val="007302D4"/>
    <w:rsid w:val="007355E7"/>
    <w:rsid w:val="0074036F"/>
    <w:rsid w:val="00750CC8"/>
    <w:rsid w:val="00756196"/>
    <w:rsid w:val="00756EF9"/>
    <w:rsid w:val="007620D8"/>
    <w:rsid w:val="0076449F"/>
    <w:rsid w:val="007671B0"/>
    <w:rsid w:val="0077039E"/>
    <w:rsid w:val="00773045"/>
    <w:rsid w:val="00774D4F"/>
    <w:rsid w:val="007765F2"/>
    <w:rsid w:val="0077741F"/>
    <w:rsid w:val="00780147"/>
    <w:rsid w:val="00782DE3"/>
    <w:rsid w:val="0079475A"/>
    <w:rsid w:val="007A055E"/>
    <w:rsid w:val="007D670B"/>
    <w:rsid w:val="007E5827"/>
    <w:rsid w:val="007F22A4"/>
    <w:rsid w:val="007F32C8"/>
    <w:rsid w:val="007F4750"/>
    <w:rsid w:val="00803C70"/>
    <w:rsid w:val="008055A1"/>
    <w:rsid w:val="008065DC"/>
    <w:rsid w:val="0080741B"/>
    <w:rsid w:val="008079A3"/>
    <w:rsid w:val="0082236E"/>
    <w:rsid w:val="00822B7F"/>
    <w:rsid w:val="008248E2"/>
    <w:rsid w:val="00833B5B"/>
    <w:rsid w:val="008364BC"/>
    <w:rsid w:val="0084085C"/>
    <w:rsid w:val="00841DD8"/>
    <w:rsid w:val="0084202D"/>
    <w:rsid w:val="008424B8"/>
    <w:rsid w:val="00843596"/>
    <w:rsid w:val="00846184"/>
    <w:rsid w:val="00846826"/>
    <w:rsid w:val="008474CF"/>
    <w:rsid w:val="00853D6A"/>
    <w:rsid w:val="0085481D"/>
    <w:rsid w:val="00865309"/>
    <w:rsid w:val="00865C62"/>
    <w:rsid w:val="0088190E"/>
    <w:rsid w:val="0088723D"/>
    <w:rsid w:val="00894430"/>
    <w:rsid w:val="008970C8"/>
    <w:rsid w:val="008A1551"/>
    <w:rsid w:val="008E16DD"/>
    <w:rsid w:val="008E1AA1"/>
    <w:rsid w:val="008E2255"/>
    <w:rsid w:val="008F43D5"/>
    <w:rsid w:val="008F4F00"/>
    <w:rsid w:val="009055C9"/>
    <w:rsid w:val="00921438"/>
    <w:rsid w:val="00923865"/>
    <w:rsid w:val="00931F33"/>
    <w:rsid w:val="00932CB9"/>
    <w:rsid w:val="00937AA6"/>
    <w:rsid w:val="00942E38"/>
    <w:rsid w:val="009454B4"/>
    <w:rsid w:val="00953586"/>
    <w:rsid w:val="0095531B"/>
    <w:rsid w:val="00964EF9"/>
    <w:rsid w:val="00975E2F"/>
    <w:rsid w:val="009850F6"/>
    <w:rsid w:val="009953A3"/>
    <w:rsid w:val="009958A8"/>
    <w:rsid w:val="009960A2"/>
    <w:rsid w:val="00996602"/>
    <w:rsid w:val="009A107F"/>
    <w:rsid w:val="009B48F4"/>
    <w:rsid w:val="009B6D5E"/>
    <w:rsid w:val="009C6697"/>
    <w:rsid w:val="009C75E5"/>
    <w:rsid w:val="009D15B4"/>
    <w:rsid w:val="009D526C"/>
    <w:rsid w:val="009E56A7"/>
    <w:rsid w:val="009F513E"/>
    <w:rsid w:val="00A1253E"/>
    <w:rsid w:val="00A13C8F"/>
    <w:rsid w:val="00A2586B"/>
    <w:rsid w:val="00A31192"/>
    <w:rsid w:val="00A410E6"/>
    <w:rsid w:val="00A420A9"/>
    <w:rsid w:val="00A4613D"/>
    <w:rsid w:val="00A50191"/>
    <w:rsid w:val="00A54877"/>
    <w:rsid w:val="00A61C97"/>
    <w:rsid w:val="00A622A5"/>
    <w:rsid w:val="00A722E0"/>
    <w:rsid w:val="00A83CB1"/>
    <w:rsid w:val="00A8533A"/>
    <w:rsid w:val="00AA1488"/>
    <w:rsid w:val="00AA4D5A"/>
    <w:rsid w:val="00AA684B"/>
    <w:rsid w:val="00AB4438"/>
    <w:rsid w:val="00AC7A82"/>
    <w:rsid w:val="00AD287E"/>
    <w:rsid w:val="00AD437D"/>
    <w:rsid w:val="00B047E8"/>
    <w:rsid w:val="00B07E31"/>
    <w:rsid w:val="00B13CC0"/>
    <w:rsid w:val="00B150B2"/>
    <w:rsid w:val="00B339FD"/>
    <w:rsid w:val="00B52B46"/>
    <w:rsid w:val="00B61351"/>
    <w:rsid w:val="00B73F8A"/>
    <w:rsid w:val="00B85835"/>
    <w:rsid w:val="00BA68BB"/>
    <w:rsid w:val="00BA7ABC"/>
    <w:rsid w:val="00BB4DAD"/>
    <w:rsid w:val="00BC3910"/>
    <w:rsid w:val="00BD299D"/>
    <w:rsid w:val="00BE46B1"/>
    <w:rsid w:val="00C0669C"/>
    <w:rsid w:val="00C235C8"/>
    <w:rsid w:val="00C32DE7"/>
    <w:rsid w:val="00C35D33"/>
    <w:rsid w:val="00C37FDB"/>
    <w:rsid w:val="00C54A87"/>
    <w:rsid w:val="00C607BC"/>
    <w:rsid w:val="00C61DF0"/>
    <w:rsid w:val="00C764B6"/>
    <w:rsid w:val="00C80AC9"/>
    <w:rsid w:val="00CB06C3"/>
    <w:rsid w:val="00CC496B"/>
    <w:rsid w:val="00CC676F"/>
    <w:rsid w:val="00CD587E"/>
    <w:rsid w:val="00CE7324"/>
    <w:rsid w:val="00CF3750"/>
    <w:rsid w:val="00D057A5"/>
    <w:rsid w:val="00D10DB2"/>
    <w:rsid w:val="00D14367"/>
    <w:rsid w:val="00D17D83"/>
    <w:rsid w:val="00D205D8"/>
    <w:rsid w:val="00D21B90"/>
    <w:rsid w:val="00D30181"/>
    <w:rsid w:val="00D34428"/>
    <w:rsid w:val="00D50079"/>
    <w:rsid w:val="00D50128"/>
    <w:rsid w:val="00D565FF"/>
    <w:rsid w:val="00D56F3C"/>
    <w:rsid w:val="00D61A17"/>
    <w:rsid w:val="00D84C45"/>
    <w:rsid w:val="00D951D0"/>
    <w:rsid w:val="00DA03A0"/>
    <w:rsid w:val="00DA3793"/>
    <w:rsid w:val="00DB25AE"/>
    <w:rsid w:val="00DB2C48"/>
    <w:rsid w:val="00DB3653"/>
    <w:rsid w:val="00DC4829"/>
    <w:rsid w:val="00DD05D0"/>
    <w:rsid w:val="00DE5656"/>
    <w:rsid w:val="00E02660"/>
    <w:rsid w:val="00E036A5"/>
    <w:rsid w:val="00E173A9"/>
    <w:rsid w:val="00E22D82"/>
    <w:rsid w:val="00E24907"/>
    <w:rsid w:val="00E24D42"/>
    <w:rsid w:val="00E254FF"/>
    <w:rsid w:val="00E30015"/>
    <w:rsid w:val="00E30D33"/>
    <w:rsid w:val="00E31091"/>
    <w:rsid w:val="00E52C6D"/>
    <w:rsid w:val="00E56955"/>
    <w:rsid w:val="00E61278"/>
    <w:rsid w:val="00E71039"/>
    <w:rsid w:val="00E712DB"/>
    <w:rsid w:val="00E736D1"/>
    <w:rsid w:val="00E75C88"/>
    <w:rsid w:val="00E90C9E"/>
    <w:rsid w:val="00EB17E0"/>
    <w:rsid w:val="00F01AB8"/>
    <w:rsid w:val="00F04CD5"/>
    <w:rsid w:val="00F268BA"/>
    <w:rsid w:val="00F44514"/>
    <w:rsid w:val="00F50C87"/>
    <w:rsid w:val="00F56B00"/>
    <w:rsid w:val="00F83856"/>
    <w:rsid w:val="00F85E6F"/>
    <w:rsid w:val="00F8755A"/>
    <w:rsid w:val="00F9143A"/>
    <w:rsid w:val="00F9170D"/>
    <w:rsid w:val="00F920E3"/>
    <w:rsid w:val="00F949C7"/>
    <w:rsid w:val="00F94A7F"/>
    <w:rsid w:val="00F97F14"/>
    <w:rsid w:val="00FD073E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220419"/>
  <w14:defaultImageDpi w14:val="300"/>
  <w15:docId w15:val="{9657452A-A6E9-4366-BEA8-6D21E3A0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143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4D2BA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D2BA7"/>
  </w:style>
  <w:style w:type="character" w:styleId="Rimandonotaapidipagina">
    <w:name w:val="footnote reference"/>
    <w:basedOn w:val="Carpredefinitoparagrafo"/>
    <w:uiPriority w:val="99"/>
    <w:unhideWhenUsed/>
    <w:rsid w:val="004D2BA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8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82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E6A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A6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8BB"/>
  </w:style>
  <w:style w:type="paragraph" w:styleId="Pidipagina">
    <w:name w:val="footer"/>
    <w:basedOn w:val="Normale"/>
    <w:link w:val="PidipaginaCarattere"/>
    <w:uiPriority w:val="99"/>
    <w:unhideWhenUsed/>
    <w:rsid w:val="00BA6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3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9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19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31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41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41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9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610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309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583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00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42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1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74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47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2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9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5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8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912B-9416-4EB7-ACAE-234F0A26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3314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D'Aloisi</dc:creator>
  <cp:lastModifiedBy>Marco D' Aloisi</cp:lastModifiedBy>
  <cp:revision>48</cp:revision>
  <cp:lastPrinted>2015-06-17T12:25:00Z</cp:lastPrinted>
  <dcterms:created xsi:type="dcterms:W3CDTF">2015-06-12T14:41:00Z</dcterms:created>
  <dcterms:modified xsi:type="dcterms:W3CDTF">2015-06-17T13:37:00Z</dcterms:modified>
</cp:coreProperties>
</file>